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0"/>
        <w:jc w:val="both"/>
        <w:rPr>
          <w:color w:val="000000"/>
        </w:rPr>
      </w:pPr>
      <w:r>
        <w:rPr>
          <w:color w:val="000000"/>
        </w:rPr>
        <w:t>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xml:space="preserve"> </w:t>
      </w:r>
      <w:r>
        <w:rPr>
          <w:rFonts w:ascii="Times New Roman;sans-serif" w:hAnsi="Times New Roman;sans-serif"/>
          <w:b w:val="false"/>
          <w:color w:val="000000"/>
          <w:sz w:val="20"/>
        </w:rPr>
        <w:t xml:space="preserve">__________ </w:t>
      </w:r>
      <w:r>
        <w:rPr>
          <w:rFonts w:ascii="Times New Roman;sans-serif" w:hAnsi="Times New Roman;sans-serif"/>
          <w:b/>
          <w:color w:val="000000"/>
          <w:sz w:val="20"/>
        </w:rPr>
        <w:t>to</w:t>
      </w:r>
      <w:r>
        <w:rPr>
          <w:color w:val="000000"/>
        </w:rPr>
        <w:t xml:space="preserve"> </w:t>
      </w:r>
      <w:r>
        <w:rPr>
          <w:rFonts w:ascii="Times New Roman;sans-serif" w:hAnsi="Times New Roman;sans-serif"/>
          <w:b w:val="false"/>
          <w:color w:val="000000"/>
          <w:sz w:val="20"/>
        </w:rPr>
        <w:t>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0-33169</w:t>
      </w:r>
    </w:p>
    <w:p>
      <w:pPr>
        <w:pStyle w:val="TextBody"/>
        <w:bidi w:val="0"/>
        <w:spacing w:before="220" w:after="283"/>
        <w:jc w:val="center"/>
        <w:rPr/>
      </w:pPr>
      <w:r>
        <w:rPr/>
        <w:drawing>
          <wp:inline distT="0" distB="0" distL="0" distR="0">
            <wp:extent cx="27432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42950"/>
                    </a:xfrm>
                    <a:prstGeom prst="rect">
                      <a:avLst/>
                    </a:prstGeom>
                  </pic:spPr>
                </pic:pic>
              </a:graphicData>
            </a:graphic>
          </wp:inline>
        </w:drawing>
      </w:r>
    </w:p>
    <w:p>
      <w:pPr>
        <w:pStyle w:val="TextBody"/>
        <w:bidi w:val="0"/>
        <w:spacing w:before="220" w:after="283"/>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Cross Country Healthcare,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13-4066229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6551 Park of Commerce Boulevard, N.W.</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Florida 33487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(561) 998-2232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both"/>
        <w:rPr>
          <w:color w:val="000000"/>
        </w:rPr>
      </w:pPr>
      <w:r>
        <w:rPr>
          <w:color w:val="000000"/>
        </w:rPr>
        <w:t> </w:t>
      </w:r>
    </w:p>
    <w:tbl>
      <w:tblPr>
        <w:tblW w:w="8999" w:type="dxa"/>
        <w:jc w:val="left"/>
        <w:tblInd w:w="0" w:type="dxa"/>
        <w:tblLayout w:type="fixed"/>
        <w:tblCellMar>
          <w:top w:w="28" w:type="dxa"/>
          <w:left w:w="28" w:type="dxa"/>
          <w:bottom w:w="28" w:type="dxa"/>
          <w:right w:w="28" w:type="dxa"/>
        </w:tblCellMar>
      </w:tblPr>
      <w:tblGrid>
        <w:gridCol w:w="1339"/>
        <w:gridCol w:w="1176"/>
        <w:gridCol w:w="1190"/>
        <w:gridCol w:w="489"/>
        <w:gridCol w:w="489"/>
        <w:gridCol w:w="491"/>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CCRN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company”in Rule 12b-2 of the Exchange Act: Large accelerated filer </w:t>
      </w:r>
      <w:r>
        <w:rPr>
          <w:color w:val="000000"/>
        </w:rPr>
        <w:t xml:space="preserve">☑ </w:t>
      </w:r>
      <w:r>
        <w:rPr>
          <w:rFonts w:ascii="Times New Roman;sans-serif" w:hAnsi="Times New Roman;sans-serif"/>
          <w:b w:val="false"/>
          <w:color w:val="000000"/>
          <w:sz w:val="20"/>
        </w:rPr>
        <w:t>Accelerated filer </w:t>
      </w:r>
      <w:r>
        <w:rPr>
          <w:color w:val="000000"/>
        </w:rPr>
        <w:t xml:space="preserve">☐ </w:t>
      </w:r>
      <w:r>
        <w:rPr>
          <w:rFonts w:ascii="Times New Roman;sans-serif" w:hAnsi="Times New Roman;sans-serif"/>
          <w:b w:val="false"/>
          <w:color w:val="000000"/>
          <w:sz w:val="20"/>
        </w:rPr>
        <w:t>Non-accelerated filer </w:t>
      </w:r>
      <w:r>
        <w:rPr>
          <w:color w:val="000000"/>
        </w:rPr>
        <w:t xml:space="preserve">☐ </w:t>
      </w: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securities are registered pursuant to Section 12(b) of the Act, indicate by check mark whether the financial statements </w:t>
      </w:r>
    </w:p>
    <w:p>
      <w:pPr>
        <w:pStyle w:val="TextBody"/>
        <w:bidi w:val="0"/>
        <w:spacing w:lineRule="auto" w:line="288" w:before="0" w:after="0"/>
        <w:jc w:val="left"/>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Indicate by check mark whether the Registrant is a shell company (as defined by Rule 12b-2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aggregate market value of the voting stock held by non-affiliates of the Registrant, based on the closing price of Common Stock on June 30, 2023 </w:t>
      </w:r>
      <w:r>
        <w:rPr>
          <w:rFonts w:ascii="Times New Roman;sans-serif" w:hAnsi="Times New Roman;sans-serif"/>
          <w:b w:val="false"/>
          <w:color w:val="000000"/>
          <w:sz w:val="20"/>
          <w:shd w:fill="FFFFFF" w:val="clear"/>
        </w:rPr>
        <w:t>of $28.08 as reported</w:t>
      </w:r>
      <w:r>
        <w:rPr>
          <w:color w:val="000000"/>
        </w:rPr>
        <w:t xml:space="preserve"> </w:t>
      </w:r>
      <w:r>
        <w:rPr>
          <w:rFonts w:ascii="Times New Roman;sans-serif" w:hAnsi="Times New Roman;sans-serif"/>
          <w:b w:val="false"/>
          <w:color w:val="000000"/>
          <w:sz w:val="20"/>
        </w:rPr>
        <w:t xml:space="preserve">on the Nasdaq Global Select Market, was </w:t>
      </w:r>
      <w:r>
        <w:rPr>
          <w:rFonts w:ascii="Times New Roman;sans-serif" w:hAnsi="Times New Roman;sans-serif"/>
          <w:b w:val="false"/>
          <w:color w:val="000000"/>
          <w:sz w:val="20"/>
          <w:shd w:fill="FFFFFF" w:val="clear"/>
        </w:rPr>
        <w:t>$926,700,597</w:t>
      </w:r>
      <w:r>
        <w:rPr>
          <w:rFonts w:ascii="Times New Roman;sans-serif" w:hAnsi="Times New Roman;sans-serif"/>
          <w:b/>
          <w:color w:val="000000"/>
          <w:sz w:val="20"/>
        </w:rPr>
        <w:t xml:space="preserve">. </w:t>
      </w:r>
      <w:r>
        <w:rPr>
          <w:rFonts w:ascii="Times New Roman;sans-serif" w:hAnsi="Times New Roman;sans-serif"/>
          <w:b w:val="false"/>
          <w:color w:val="000000"/>
          <w:sz w:val="20"/>
        </w:rPr>
        <w:t>This calculation does not reflect a determination that persons are affiliated for any other purpose.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As of February 14, 2024, </w:t>
      </w:r>
      <w:r>
        <w:rPr>
          <w:rFonts w:ascii="Times New Roman;sans-serif" w:hAnsi="Times New Roman;sans-serif"/>
          <w:b w:val="false"/>
          <w:color w:val="000000"/>
          <w:sz w:val="20"/>
          <w:shd w:fill="FFFFFF" w:val="clear"/>
        </w:rPr>
        <w:t xml:space="preserve">34,725,677 </w:t>
      </w:r>
      <w:r>
        <w:rPr>
          <w:rFonts w:ascii="Times New Roman;sans-serif" w:hAnsi="Times New Roman;sans-serif"/>
          <w:b w:val="false"/>
          <w:color w:val="000000"/>
          <w:sz w:val="20"/>
        </w:rPr>
        <w:t>shares of Common Stock, $0.0001 par value per share, were outstanding.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the 2023 Annual Meeting of Stockholders, which statement will be filed pursuant to Regulation 14A not later than 120 days after the end of the fiscal year covered by this report, are incorporated by reference into Part III hereof.</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
        <w:gridCol w:w="286"/>
        <w:gridCol w:w="288"/>
        <w:gridCol w:w="2916"/>
        <w:gridCol w:w="2900"/>
        <w:gridCol w:w="2916"/>
        <w:gridCol w:w="167"/>
        <w:gridCol w:w="167"/>
        <w:gridCol w:w="23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3">
              <w:r>
                <w:rPr>
                  <w:rStyle w:val="InternetLink"/>
                  <w:rFonts w:ascii="Times New Roman;sans-serif" w:hAnsi="Times New Roman;sans-serif"/>
                  <w:b/>
                  <w:color w:val="000000"/>
                  <w:sz w:val="20"/>
                  <w:u w:val="single"/>
                </w:rPr>
                <w:t>PART 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6">
              <w:r>
                <w:rPr>
                  <w:rStyle w:val="InternetLink"/>
                  <w:rFonts w:ascii="Times New Roman;sans-serif" w:hAnsi="Times New Roman;sans-serif"/>
                  <w:b w:val="false"/>
                  <w:color w:val="000000"/>
                  <w:sz w:val="20"/>
                  <w:u w:val="single"/>
                </w:rPr>
                <w:t>Item 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6">
              <w:r>
                <w:rPr>
                  <w:rStyle w:val="InternetLink"/>
                  <w:rFonts w:ascii="Times New Roman;sans-serif" w:hAnsi="Times New Roman;sans-serif"/>
                  <w:b w:val="false"/>
                  <w:color w:val="000000"/>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16">
              <w:r>
                <w:rPr>
                  <w:rStyle w:val="InternetLink"/>
                  <w:rFonts w:ascii="Times New Roman;sans-serif" w:hAnsi="Times New Roman;sans-serif"/>
                  <w:b w:val="false"/>
                  <w:color w:val="000000"/>
                  <w:sz w:val="20"/>
                  <w:u w:val="single"/>
                </w:rPr>
                <w:t>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9">
              <w:r>
                <w:rPr>
                  <w:rStyle w:val="InternetLink"/>
                  <w:rFonts w:ascii="Times New Roman;sans-serif" w:hAnsi="Times New Roman;sans-serif"/>
                  <w:b w:val="false"/>
                  <w:color w:val="000000"/>
                  <w:sz w:val="20"/>
                  <w:u w:val="single"/>
                </w:rPr>
                <w:t>Item 1A.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9">
              <w:r>
                <w:rPr>
                  <w:rStyle w:val="InternetLink"/>
                  <w:rFonts w:ascii="Times New Roman;sans-serif" w:hAnsi="Times New Roman;sans-serif"/>
                  <w:b w:val="false"/>
                  <w:color w:val="000000"/>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19">
              <w:r>
                <w:rPr>
                  <w:rStyle w:val="InternetLink"/>
                  <w:rFonts w:ascii="Times New Roman;sans-serif" w:hAnsi="Times New Roman;sans-serif"/>
                  <w:b w:val="false"/>
                  <w:color w:val="000000"/>
                  <w:sz w:val="20"/>
                  <w:u w:val="single"/>
                </w:rPr>
                <w:t>11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2">
              <w:r>
                <w:rPr>
                  <w:rStyle w:val="InternetLink"/>
                  <w:rFonts w:ascii="Times New Roman;sans-serif" w:hAnsi="Times New Roman;sans-serif"/>
                  <w:b w:val="false"/>
                  <w:color w:val="000000"/>
                  <w:sz w:val="20"/>
                  <w:u w:val="single"/>
                </w:rPr>
                <w:t>Item 1B.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2">
              <w:r>
                <w:rPr>
                  <w:rStyle w:val="InternetLink"/>
                  <w:rFonts w:ascii="Times New Roman;sans-serif" w:hAnsi="Times New Roman;sans-serif"/>
                  <w:b w:val="false"/>
                  <w:color w:val="000000"/>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22">
              <w:r>
                <w:rPr>
                  <w:rStyle w:val="InternetLink"/>
                  <w:rFonts w:ascii="Times New Roman;sans-serif" w:hAnsi="Times New Roman;sans-serif"/>
                  <w:b w:val="false"/>
                  <w:color w:val="000000"/>
                  <w:sz w:val="20"/>
                  <w:u w:val="single"/>
                </w:rPr>
                <w:t>21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568">
              <w:r>
                <w:rPr>
                  <w:rStyle w:val="InternetLink"/>
                  <w:rFonts w:ascii="Times New Roman;sans-serif" w:hAnsi="Times New Roman;sans-serif"/>
                  <w:b w:val="false"/>
                  <w:color w:val="000000"/>
                  <w:sz w:val="20"/>
                  <w:u w:val="single"/>
                </w:rPr>
                <w:t>Item 1C.</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568">
              <w:r>
                <w:rPr>
                  <w:rStyle w:val="InternetLink"/>
                  <w:rFonts w:ascii="Times New Roman;sans-serif" w:hAnsi="Times New Roman;sans-serif"/>
                  <w:b w:val="false"/>
                  <w:color w:val="000000"/>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1568">
              <w:r>
                <w:rPr>
                  <w:rStyle w:val="InternetLink"/>
                  <w:rFonts w:ascii="Times New Roman;sans-serif" w:hAnsi="Times New Roman;sans-serif"/>
                  <w:b w:val="false"/>
                  <w:color w:val="000000"/>
                  <w:sz w:val="20"/>
                  <w:u w:val="single"/>
                </w:rPr>
                <w:t>21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5">
              <w:r>
                <w:rPr>
                  <w:rStyle w:val="InternetLink"/>
                  <w:rFonts w:ascii="Times New Roman;sans-serif" w:hAnsi="Times New Roman;sans-serif"/>
                  <w:b w:val="false"/>
                  <w:color w:val="000000"/>
                  <w:sz w:val="20"/>
                  <w:u w:val="single"/>
                </w:rPr>
                <w:t>Item 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5">
              <w:r>
                <w:rPr>
                  <w:rStyle w:val="InternetLink"/>
                  <w:rFonts w:ascii="Times New Roman;sans-serif" w:hAnsi="Times New Roman;sans-serif"/>
                  <w:b w:val="false"/>
                  <w:color w:val="000000"/>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25">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8">
              <w:r>
                <w:rPr>
                  <w:rStyle w:val="InternetLink"/>
                  <w:rFonts w:ascii="Times New Roman;sans-serif" w:hAnsi="Times New Roman;sans-serif"/>
                  <w:b w:val="false"/>
                  <w:color w:val="000000"/>
                  <w:sz w:val="20"/>
                  <w:u w:val="single"/>
                </w:rPr>
                <w:t>Item 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28">
              <w:r>
                <w:rPr>
                  <w:rStyle w:val="InternetLink"/>
                  <w:rFonts w:ascii="Times New Roman;sans-serif" w:hAnsi="Times New Roman;sans-serif"/>
                  <w:b w:val="false"/>
                  <w:color w:val="000000"/>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28">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31">
              <w:r>
                <w:rPr>
                  <w:rStyle w:val="InternetLink"/>
                  <w:rFonts w:ascii="Times New Roman;sans-serif" w:hAnsi="Times New Roman;sans-serif"/>
                  <w:b w:val="false"/>
                  <w:color w:val="000000"/>
                  <w:sz w:val="20"/>
                  <w:u w:val="single"/>
                </w:rPr>
                <w:t>Item 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31">
              <w:r>
                <w:rPr>
                  <w:rStyle w:val="InternetLink"/>
                  <w:rFonts w:ascii="Times New Roman;sans-serif" w:hAnsi="Times New Roman;sans-serif"/>
                  <w:b w:val="false"/>
                  <w:color w:val="000000"/>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31">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3">
              <w:r>
                <w:rPr>
                  <w:rStyle w:val="InternetLink"/>
                  <w:rFonts w:ascii="Times New Roman;sans-serif" w:hAnsi="Times New Roman;sans-serif"/>
                  <w:b/>
                  <w:color w:val="000080"/>
                  <w:sz w:val="20"/>
                  <w:u w:val="single"/>
                </w:rPr>
                <w:t>PART I</w:t>
              </w:r>
            </w:hyperlink>
            <w:r>
              <w:rPr>
                <w:rFonts w:ascii="Times New Roman;sans-serif" w:hAnsi="Times New Roman;sans-serif"/>
                <w:b/>
                <w:color w:val="000000"/>
                <w:sz w:val="20"/>
                <w:u w:val="single"/>
              </w:rPr>
              <w:t>I</w:t>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37">
              <w:r>
                <w:rPr>
                  <w:rStyle w:val="InternetLink"/>
                  <w:rFonts w:ascii="Times New Roman;sans-serif" w:hAnsi="Times New Roman;sans-serif"/>
                  <w:b w:val="false"/>
                  <w:color w:val="000000"/>
                  <w:sz w:val="20"/>
                  <w:u w:val="single"/>
                </w:rPr>
                <w:t>Item 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37">
              <w:r>
                <w:rPr>
                  <w:rStyle w:val="InternetLink"/>
                  <w:rFonts w:ascii="Times New Roman;sans-serif" w:hAnsi="Times New Roman;sans-serif"/>
                  <w:b w:val="false"/>
                  <w:color w:val="000000"/>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37">
              <w:r>
                <w:rPr>
                  <w:rStyle w:val="InternetLink"/>
                  <w:rFonts w:ascii="Times New Roman;sans-serif" w:hAnsi="Times New Roman;sans-serif"/>
                  <w:b w:val="false"/>
                  <w:color w:val="000000"/>
                  <w:sz w:val="20"/>
                  <w:u w:val="singl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0">
              <w:r>
                <w:rPr>
                  <w:rStyle w:val="InternetLink"/>
                  <w:rFonts w:ascii="Times New Roman;sans-serif" w:hAnsi="Times New Roman;sans-serif"/>
                  <w:b w:val="false"/>
                  <w:color w:val="000000"/>
                  <w:sz w:val="20"/>
                  <w:u w:val="single"/>
                </w:rPr>
                <w:t>Item 6.</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hyperlink w:anchor="i041c42fc647e479db8e0fe1dbbbace4e_40">
              <w:r>
                <w:rPr>
                  <w:rStyle w:val="InternetLink"/>
                  <w:rFonts w:ascii="Times New Roman;sans-serif" w:hAnsi="Times New Roman;sans-serif"/>
                  <w:b w:val="false"/>
                  <w:color w:val="000000"/>
                  <w:sz w:val="20"/>
                  <w:u w:val="single"/>
                </w:rPr>
                <w:t>Reserved</w:t>
              </w:r>
            </w:hyperlink>
            <w:r>
              <w:rPr>
                <w:rFonts w:ascii="Times New Roman;sans-serif" w:hAnsi="Times New Roman;sans-serif"/>
                <w:b w:val="false"/>
                <w:color w:val="000000"/>
                <w:sz w:val="20"/>
              </w:rPr>
              <w:t>]</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40">
              <w:r>
                <w:rPr>
                  <w:rStyle w:val="InternetLink"/>
                  <w:rFonts w:ascii="Times New Roman;sans-serif" w:hAnsi="Times New Roman;sans-serif"/>
                  <w:b w:val="false"/>
                  <w:color w:val="000000"/>
                  <w:sz w:val="20"/>
                  <w:u w:val="single"/>
                </w:rPr>
                <w:t>26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3">
              <w:r>
                <w:rPr>
                  <w:rStyle w:val="InternetLink"/>
                  <w:rFonts w:ascii="Times New Roman;sans-serif" w:hAnsi="Times New Roman;sans-serif"/>
                  <w:b w:val="false"/>
                  <w:color w:val="000000"/>
                  <w:sz w:val="20"/>
                  <w:u w:val="single"/>
                </w:rPr>
                <w:t>Item 7.</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3">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43">
              <w:r>
                <w:rPr>
                  <w:rStyle w:val="InternetLink"/>
                  <w:rFonts w:ascii="Times New Roman;sans-serif" w:hAnsi="Times New Roman;sans-serif"/>
                  <w:b w:val="false"/>
                  <w:color w:val="000000"/>
                  <w:sz w:val="20"/>
                  <w:u w:val="single"/>
                </w:rPr>
                <w:t>26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6">
              <w:r>
                <w:rPr>
                  <w:rStyle w:val="InternetLink"/>
                  <w:rFonts w:ascii="Times New Roman;sans-serif" w:hAnsi="Times New Roman;sans-serif"/>
                  <w:b w:val="false"/>
                  <w:color w:val="000000"/>
                  <w:sz w:val="20"/>
                  <w:u w:val="single"/>
                </w:rPr>
                <w:t>Item 7A.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6">
              <w:r>
                <w:rPr>
                  <w:rStyle w:val="InternetLink"/>
                  <w:rFonts w:ascii="Times New Roman;sans-serif" w:hAnsi="Times New Roman;sans-serif"/>
                  <w:b w:val="false"/>
                  <w:color w:val="000000"/>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46">
              <w:r>
                <w:rPr>
                  <w:rStyle w:val="InternetLink"/>
                  <w:rFonts w:ascii="Times New Roman;sans-serif" w:hAnsi="Times New Roman;sans-serif"/>
                  <w:b w:val="false"/>
                  <w:color w:val="000000"/>
                  <w:sz w:val="20"/>
                  <w:u w:val="singl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9">
              <w:r>
                <w:rPr>
                  <w:rStyle w:val="InternetLink"/>
                  <w:rFonts w:ascii="Times New Roman;sans-serif" w:hAnsi="Times New Roman;sans-serif"/>
                  <w:b w:val="false"/>
                  <w:color w:val="000000"/>
                  <w:sz w:val="20"/>
                  <w:u w:val="single"/>
                </w:rPr>
                <w:t>Item 8.</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49">
              <w:r>
                <w:rPr>
                  <w:rStyle w:val="InternetLink"/>
                  <w:rFonts w:ascii="Times New Roman;sans-serif" w:hAnsi="Times New Roman;sans-serif"/>
                  <w:b w:val="false"/>
                  <w:color w:val="000000"/>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49">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52">
              <w:r>
                <w:rPr>
                  <w:rStyle w:val="InternetLink"/>
                  <w:rFonts w:ascii="Times New Roman;sans-serif" w:hAnsi="Times New Roman;sans-serif"/>
                  <w:b w:val="false"/>
                  <w:color w:val="000000"/>
                  <w:sz w:val="20"/>
                  <w:u w:val="single"/>
                </w:rPr>
                <w:t>Item 9.</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52">
              <w:r>
                <w:rPr>
                  <w:rStyle w:val="InternetLink"/>
                  <w:rFonts w:ascii="Times New Roman;sans-serif" w:hAnsi="Times New Roman;sans-serif"/>
                  <w:b w:val="false"/>
                  <w:color w:val="000000"/>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52">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55">
              <w:r>
                <w:rPr>
                  <w:rStyle w:val="InternetLink"/>
                  <w:rFonts w:ascii="Times New Roman;sans-serif" w:hAnsi="Times New Roman;sans-serif"/>
                  <w:b w:val="false"/>
                  <w:color w:val="000000"/>
                  <w:sz w:val="20"/>
                  <w:u w:val="single"/>
                </w:rPr>
                <w:t>Item 9A.</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55">
              <w:r>
                <w:rPr>
                  <w:rStyle w:val="InternetLink"/>
                  <w:rFonts w:ascii="Times New Roman;sans-serif" w:hAnsi="Times New Roman;sans-serif"/>
                  <w:b w:val="false"/>
                  <w:color w:val="000000"/>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55">
              <w:r>
                <w:rPr>
                  <w:rStyle w:val="InternetLink"/>
                  <w:rFonts w:ascii="Times New Roman;sans-serif" w:hAnsi="Times New Roman;sans-serif"/>
                  <w:b w:val="false"/>
                  <w:color w:val="000000"/>
                  <w:sz w:val="20"/>
                  <w:u w:val="singl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64">
              <w:r>
                <w:rPr>
                  <w:rStyle w:val="InternetLink"/>
                  <w:rFonts w:ascii="Times New Roman;sans-serif" w:hAnsi="Times New Roman;sans-serif"/>
                  <w:b w:val="false"/>
                  <w:color w:val="000000"/>
                  <w:sz w:val="20"/>
                  <w:u w:val="single"/>
                </w:rPr>
                <w:t>Item 9B.</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58">
              <w:r>
                <w:rPr>
                  <w:rStyle w:val="InternetLink"/>
                  <w:rFonts w:ascii="Times New Roman;sans-serif" w:hAnsi="Times New Roman;sans-serif"/>
                  <w:b w:val="false"/>
                  <w:color w:val="000000"/>
                  <w:sz w:val="20"/>
                  <w:u w:val="single"/>
                </w:rPr>
                <w:t>39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61">
              <w:r>
                <w:rPr>
                  <w:rStyle w:val="InternetLink"/>
                  <w:rFonts w:ascii="Times New Roman;sans-serif" w:hAnsi="Times New Roman;sans-serif"/>
                  <w:b w:val="false"/>
                  <w:color w:val="000000"/>
                  <w:sz w:val="20"/>
                  <w:u w:val="single"/>
                </w:rPr>
                <w:t>Item 9C.</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Disclosure Regarding Foreign Jurisdictions that Prevent Inspections</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61">
              <w:r>
                <w:rPr>
                  <w:rStyle w:val="InternetLink"/>
                  <w:rFonts w:ascii="Times New Roman;sans-serif" w:hAnsi="Times New Roman;sans-serif"/>
                  <w:b w:val="false"/>
                  <w:color w:val="000000"/>
                  <w:sz w:val="20"/>
                  <w:u w:val="single"/>
                </w:rPr>
                <w:t>39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64">
              <w:r>
                <w:rPr>
                  <w:rStyle w:val="InternetLink"/>
                  <w:rFonts w:ascii="Times New Roman;sans-serif" w:hAnsi="Times New Roman;sans-serif"/>
                  <w:b/>
                  <w:color w:val="000000"/>
                  <w:sz w:val="20"/>
                  <w:u w:val="single"/>
                </w:rPr>
                <w:t>PART III</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67">
              <w:r>
                <w:rPr>
                  <w:rStyle w:val="InternetLink"/>
                  <w:rFonts w:ascii="Times New Roman;sans-serif" w:hAnsi="Times New Roman;sans-serif"/>
                  <w:b w:val="false"/>
                  <w:color w:val="000000"/>
                  <w:sz w:val="20"/>
                  <w:u w:val="single"/>
                </w:rPr>
                <w:t>Item 10.</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67">
              <w:r>
                <w:rPr>
                  <w:rStyle w:val="InternetLink"/>
                  <w:rFonts w:ascii="Times New Roman;sans-serif" w:hAnsi="Times New Roman;sans-serif"/>
                  <w:b w:val="false"/>
                  <w:color w:val="000000"/>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67">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0">
              <w:r>
                <w:rPr>
                  <w:rStyle w:val="InternetLink"/>
                  <w:rFonts w:ascii="Times New Roman;sans-serif" w:hAnsi="Times New Roman;sans-serif"/>
                  <w:b w:val="false"/>
                  <w:color w:val="000000"/>
                  <w:sz w:val="20"/>
                  <w:u w:val="single"/>
                </w:rPr>
                <w:t>Item 11.</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0">
              <w:r>
                <w:rPr>
                  <w:rStyle w:val="InternetLink"/>
                  <w:rFonts w:ascii="Times New Roman;sans-serif" w:hAnsi="Times New Roman;sans-serif"/>
                  <w:b w:val="false"/>
                  <w:color w:val="000000"/>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70">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3">
              <w:r>
                <w:rPr>
                  <w:rStyle w:val="InternetLink"/>
                  <w:rFonts w:ascii="Times New Roman;sans-serif" w:hAnsi="Times New Roman;sans-serif"/>
                  <w:b w:val="false"/>
                  <w:color w:val="000000"/>
                  <w:sz w:val="20"/>
                  <w:u w:val="single"/>
                </w:rPr>
                <w:t>Item 12.</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3">
              <w:r>
                <w:rPr>
                  <w:rStyle w:val="InternetLink"/>
                  <w:rFonts w:ascii="Times New Roman;sans-serif" w:hAnsi="Times New Roman;sans-serif"/>
                  <w:b w:val="false"/>
                  <w:color w:val="000000"/>
                  <w:sz w:val="20"/>
                  <w:u w:val="single"/>
                </w:rPr>
                <w:t>Security Ownership of Certain Beneficial Owners and Management and Related Stockholders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73">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6">
              <w:r>
                <w:rPr>
                  <w:rStyle w:val="InternetLink"/>
                  <w:rFonts w:ascii="Times New Roman;sans-serif" w:hAnsi="Times New Roman;sans-serif"/>
                  <w:b w:val="false"/>
                  <w:color w:val="000000"/>
                  <w:sz w:val="20"/>
                  <w:u w:val="single"/>
                </w:rPr>
                <w:t>Item 13.</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6">
              <w:r>
                <w:rPr>
                  <w:rStyle w:val="InternetLink"/>
                  <w:rFonts w:ascii="Times New Roman;sans-serif" w:hAnsi="Times New Roman;sans-serif"/>
                  <w:b w:val="false"/>
                  <w:color w:val="000000"/>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76">
              <w:r>
                <w:rPr>
                  <w:rStyle w:val="InternetLink"/>
                  <w:rFonts w:ascii="Times New Roman;sans-serif" w:hAnsi="Times New Roman;sans-serif"/>
                  <w:b w:val="false"/>
                  <w:color w:val="000000"/>
                  <w:sz w:val="20"/>
                  <w:u w:val="single"/>
                </w:rPr>
                <w:t>40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9">
              <w:r>
                <w:rPr>
                  <w:rStyle w:val="InternetLink"/>
                  <w:rFonts w:ascii="Times New Roman;sans-serif" w:hAnsi="Times New Roman;sans-serif"/>
                  <w:b w:val="false"/>
                  <w:color w:val="000000"/>
                  <w:sz w:val="20"/>
                  <w:u w:val="single"/>
                </w:rPr>
                <w:t>Item 14.</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79">
              <w:r>
                <w:rPr>
                  <w:rStyle w:val="InternetLink"/>
                  <w:rFonts w:ascii="Times New Roman;sans-serif" w:hAnsi="Times New Roman;sans-serif"/>
                  <w:b w:val="false"/>
                  <w:color w:val="000000"/>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79">
              <w:r>
                <w:rPr>
                  <w:rStyle w:val="InternetLink"/>
                  <w:rFonts w:ascii="Times New Roman;sans-serif" w:hAnsi="Times New Roman;sans-serif"/>
                  <w:b w:val="false"/>
                  <w:color w:val="000000"/>
                  <w:sz w:val="20"/>
                  <w:u w:val="single"/>
                </w:rPr>
                <w:t>41</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82">
              <w:r>
                <w:rPr>
                  <w:rStyle w:val="InternetLink"/>
                  <w:rFonts w:ascii="Times New Roman;sans-serif" w:hAnsi="Times New Roman;sans-serif"/>
                  <w:b/>
                  <w:color w:val="000000"/>
                  <w:sz w:val="20"/>
                  <w:u w:val="single"/>
                </w:rPr>
                <w:t>PART IV</w:t>
              </w:r>
            </w:hyperlink>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85">
              <w:r>
                <w:rPr>
                  <w:rStyle w:val="InternetLink"/>
                  <w:rFonts w:ascii="Times New Roman;sans-serif" w:hAnsi="Times New Roman;sans-serif"/>
                  <w:b w:val="false"/>
                  <w:color w:val="000000"/>
                  <w:sz w:val="20"/>
                  <w:u w:val="single"/>
                </w:rPr>
                <w:t>Item 15.</w:t>
              </w:r>
            </w:hyperlink>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85">
              <w:r>
                <w:rPr>
                  <w:rStyle w:val="InternetLink"/>
                  <w:rFonts w:ascii="Times New Roman;sans-serif" w:hAnsi="Times New Roman;sans-serif"/>
                  <w:b w:val="false"/>
                  <w:color w:val="000000"/>
                  <w:sz w:val="20"/>
                  <w:u w:val="single"/>
                </w:rPr>
                <w:t>Exhibits,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85">
              <w:r>
                <w:rPr>
                  <w:rStyle w:val="InternetLink"/>
                  <w:rFonts w:ascii="Times New Roman;sans-serif" w:hAnsi="Times New Roman;sans-serif"/>
                  <w:b w:val="false"/>
                  <w:color w:val="000000"/>
                  <w:sz w:val="20"/>
                  <w:u w:val="single"/>
                </w:rPr>
                <w:t>42</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16.</w:t>
            </w:r>
          </w:p>
        </w:tc>
        <w:tc>
          <w:tcPr>
            <w:tcW w:w="87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91">
              <w:r>
                <w:rPr>
                  <w:rStyle w:val="InternetLink"/>
                  <w:rFonts w:ascii="Times New Roman;sans-serif" w:hAnsi="Times New Roman;sans-serif"/>
                  <w:b w:val="false"/>
                  <w:color w:val="000000"/>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91">
              <w:r>
                <w:rPr>
                  <w:rStyle w:val="InternetLink"/>
                  <w:rFonts w:ascii="Times New Roman;sans-serif" w:hAnsi="Times New Roman;sans-serif"/>
                  <w:b w:val="false"/>
                  <w:color w:val="000000"/>
                  <w:sz w:val="20"/>
                  <w:u w:val="single"/>
                </w:rPr>
                <w:t>47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94">
              <w:r>
                <w:rPr>
                  <w:rStyle w:val="InternetLink"/>
                  <w:rFonts w:ascii="Times New Roman;sans-serif" w:hAnsi="Times New Roman;sans-serif"/>
                  <w:b/>
                  <w:color w:val="000000"/>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c42fc647e479db8e0fe1dbbbace4e_94">
              <w:r>
                <w:rPr>
                  <w:rStyle w:val="InternetLink"/>
                  <w:rFonts w:ascii="Times New Roman;sans-serif" w:hAnsi="Times New Roman;sans-serif"/>
                  <w:b w:val="false"/>
                  <w:color w:val="000000"/>
                  <w:sz w:val="20"/>
                  <w:u w:val="single"/>
                </w:rPr>
                <w:t>47</w:t>
              </w:r>
            </w:hyperlink>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to “we,” “us,” “our,” "the Company," or “Cross Country” in this Annual Report on Form 10-K means Cross Country Healthcare, Inc., and its consolidated subsidiaries.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Website addresses referenced in this Annual Report on Form 10-K are provided for convenience only, and the content on the referenced websites does not constitute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Annual Report on Form 10-K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titled “Item 1A - Risk Factors,” and the other documents that we file from time to time with the Securities and Exchange Commission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Our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Cross Country Healthcare, Inc. (Nasdaq: CCRN) is a market-leading, tech-enabled workforce solutions and advisory firm with 37 years of industry experience and insight. We help customers tackle complex labor-related challenges and achieve high-quality outcomes, while reducing complexity and improving visibility through data-driven insights.</w:t>
      </w:r>
      <w:r>
        <w:rPr>
          <w:color w:val="444444"/>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Leveraging national and in-market staffing teams, we place highly qualified healthcare professionals in virtually every specialty on travel and per diem assignments, local short-term contracts, and permanent positions. We also place teachers, substitute teachers, and other education specialties at educational facilities, healthcare leaders within nursing, allied, physician, human resources at healthcare organizations, and non-healthcare providers to participants in Programs of All-Inclusive Care for the Elderly (PACE) programs.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including those in underserved communities.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believe that our national footprint provides a unique value proposition, as we are able to engage with a broader pool of talent and offer customers a more consultative approach relying on our understanding of the local and regional markets they serve.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services to our customers through our two reportable segments as described below: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 xml:space="preserve">(1)    Nursing and Allied Staffing. </w:t>
      </w:r>
      <w:r>
        <w:rPr>
          <w:rFonts w:ascii="Times New Roman;sans-serif" w:hAnsi="Times New Roman;sans-serif"/>
          <w:b w:val="false"/>
          <w:color w:val="000000"/>
          <w:sz w:val="20"/>
        </w:rPr>
        <w:t>The Nurse and Allied Staffing segment provides traditional staffing, recruiting, and value-added total talent solutions, including: (i) temporary and permanent placement of travel and local nurse and allied professionals, and healthcare leaders within nursing, allied, physician, human resources, and finance; (ii) vendor neutral programs and managed service programs (MSP); (iii) education healthcare services; (iv) in-home care services; and (v) outsourcing services. We also serve as a direct-hire talent acquisition partner to healthcare organizations and academic institutions throughout the nation, providing a full suite of prescriptive talent management solutions, including flexible talent delivery models such as executive search services for healthcare professionals, as well as contingent search and recruitment process outsourcing services. We also offer our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w:t>
      </w:r>
      <w:r>
        <w:rPr>
          <w:color w:val="000000"/>
        </w:rPr>
        <w:t xml:space="preserve"> </w:t>
      </w:r>
      <w:r>
        <w:rPr>
          <w:rFonts w:ascii="Times New Roman;sans-serif" w:hAnsi="Times New Roman;sans-serif"/>
          <w:b w:val="false"/>
          <w:color w:val="000000"/>
          <w:sz w:val="20"/>
          <w:shd w:fill="FFFFFF" w:val="clear"/>
        </w:rPr>
        <w:t>Ou</w:t>
      </w:r>
      <w:r>
        <w:rPr>
          <w:rFonts w:ascii="Times New Roman;sans-serif" w:hAnsi="Times New Roman;sans-serif"/>
          <w:b w:val="false"/>
          <w:color w:val="000000"/>
          <w:sz w:val="20"/>
        </w:rPr>
        <w:t xml:space="preserve">r Nurse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Allied Staffing revenue and contribution income is set forth in Note 17 - Segment Data to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majority of our revenue is generated from staffing registered nurses and allied professionals on travel contract assignments of varying lengths (typically,</w:t>
      </w:r>
      <w:r>
        <w:rPr>
          <w:color w:val="000000"/>
          <w:shd w:fill="FFFFFF" w:val="clear"/>
        </w:rPr>
        <w:t xml:space="preserve"> </w:t>
      </w:r>
      <w:r>
        <w:rPr>
          <w:rFonts w:ascii="Times New Roman;sans-serif" w:hAnsi="Times New Roman;sans-serif"/>
          <w:b w:val="false"/>
          <w:color w:val="000000"/>
          <w:sz w:val="20"/>
          <w:shd w:fill="FFFFFF" w:val="clear"/>
        </w:rPr>
        <w:t>13 weeks) a</w:t>
      </w:r>
      <w:r>
        <w:rPr>
          <w:rFonts w:ascii="Times New Roman;sans-serif" w:hAnsi="Times New Roman;sans-serif"/>
          <w:b w:val="false"/>
          <w:color w:val="000000"/>
          <w:sz w:val="20"/>
        </w:rPr>
        <w:t>t hospitals and health systems. We staff registered nurses, licensed practical nurses, certified nurse assistants, advanced practitioners, pharmacists, and more than 100 specialties of allied professionals on local per diem and short-term assignments in a variety of clinical and non-clinical settings. We also provide clinical and non-clinical professionals on long-term assignments to customers such as public and private acute care and non-acute care hospitals, government facilities, public and charter schools, academic medical centers, outpatient clinics, ambulatory care facilities, physician practice groups, local and national healthcare plans, managed care providers, PACE programs, correctional facilities, and many other healthcare providers. We also receive administrative fees from subcontractors at our MSP clients or from those subcontractors who are using our Intellify</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technology solution to staff hospital facilities directly.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 xml:space="preserve">(2)    Physician Staffing. </w:t>
      </w: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Physician Staffing segment provides licensed practitioners across a broad array of specialties, as well as certified registered nurse anesthetists (CRNAs), nurse practitioners (NPs), and physician assistants (PAs) on temporary assignments throughout the United States (U.S.). The diverse list of customers we serve includes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17 - Segment Data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staffing industry continues to evolve, with both healthcare providers and professionals demanding speed and placing heavier reliance on technology for fulfillment and delivery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Recognizing this trend, we are continuing on a path of digital transformation and innovation across our business with investments in expanding our technology capabilities both on the customer facing and candidate engagement fronts. We have executed multiple initiatives to enhance our position as a leading, consultative, and strategic partner in the healthcare industry. Some key focus areas include personalizing the candidate experience, delivering a superior customer experience, infusing technology-enablement to drive efficiencies and increased productivity, and continuing our commitment to clinical excellence. As part of our growth strategy, in 2023 we released our Internal Resource Pool (IRP) and per diem modules on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we are continuing to optimize our technologies by upgrading and integrating our middle and back-office systems and bringing our IT infrastructure and business processes onto a single cohesive platform. We expect these initiatives to drive growth through better operational execution, enhanced productivity, and a world-class customer and candidate experience.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Areas of investment also include recruitment and candidate nurturing tools, market analytics, mobile applications and self-serve capabilities, programmatic advertising, social media, and other technology. These investments enhance our recruiting capabilities and allow us to quickly respond to demand across a wide range of specialties.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One of our goals is to grow stockholder value by continuing to deepen our relationships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requires our continued focus on: (i) providing workforce solutions offerings to new customers; (ii) expanding the services we provide to current customers, including usage of Intellify</w:t>
      </w:r>
      <w:r>
        <w:rPr>
          <w:rFonts w:ascii="Times New Roman;sans-serif" w:hAnsi="Times New Roman;sans-serif"/>
          <w:b w:val="false"/>
          <w:color w:val="000000"/>
          <w:sz w:val="13"/>
        </w:rPr>
        <w:t>®</w:t>
      </w:r>
      <w:r>
        <w:rPr>
          <w:rFonts w:ascii="Times New Roman;sans-serif" w:hAnsi="Times New Roman;sans-serif"/>
          <w:b w:val="false"/>
          <w:color w:val="000000"/>
          <w:sz w:val="20"/>
        </w:rPr>
        <w:t>; (iii) further diversifying our customer base; (iv) accessing more candidates; and (v) continuing to modernize technologies and processes to optimize our relationships with healthcare professionals and customers.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To successfully execute our business strategy, we rely on experienced and innovative executive and operational teams. Our executive team has extensive experience in staffing, workforce solutions, technology services, and healthcare industries. We also foster a culture of performance, talented leadership, and collegiality that promotes the achievement of both Company and personal goals. </w:t>
      </w:r>
      <w:r>
        <w:rPr>
          <w:rFonts w:ascii="Times New Roman;sans-serif" w:hAnsi="Times New Roman;sans-serif"/>
          <w:b w:val="false"/>
          <w:color w:val="000000"/>
          <w:sz w:val="20"/>
          <w:shd w:fill="FFFFFF" w:val="clear"/>
        </w:rPr>
        <w:t xml:space="preserve">With more than 50 healthcare clinicians on our corporate staff, our Clinical Quality Council continues to serve as an advisory committee to our entire organization and customers. In 2021, and 2022, the Company’s Co-Founder &amp; Chairman was named to the Staffing Industry Analysts’ Staffing 100 List of the most notable leaders in the industry, and the Company’s Chief Executive Officer (CEO) was named to the list in 2023. One of our executives was included on Staffing Industry Analysts’ 2023 Global Power 150 - Women in Staffing List that recognizes the 100 most influential women in the Americas and 50 additional women internationally, and another executive was included in 2022, as well as a third executive included in 2021. Another executive has been recognized as a 2023 Diversity, Equity, and Inclusion Influencer by Staffing Industry Analysts, and one of the 10 Most Influential HR Executives to Watch in 2022 by CIO Views magazine. Our Chairman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Board of Directors was also nominated as a top staffing leader to watch in 2023 for World Staffing Awards. In addition, the Company’s Chief Clinical Officer joined the Joint Commission’s Healthcare Staffing Advisory Council in 2020, a committee of staffing experts who help evaluate healthcare organizations.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and Uncertainties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COVID-19 pandemic highlighted the need to continue to innovate, improve processes, and expand services to meet the needs of our patients, employees, and customers. A healthcare workforce shortage brought on by various challenges was compounded by the “burn-out” of healthcare professionals through the pandemic. This</w:t>
      </w:r>
      <w:r>
        <w:rPr>
          <w:color w:val="000000"/>
        </w:rPr>
        <w:t xml:space="preserve"> </w:t>
      </w:r>
      <w:r>
        <w:rPr>
          <w:rFonts w:ascii="Times New Roman;sans-serif" w:hAnsi="Times New Roman;sans-serif"/>
          <w:b w:val="false"/>
          <w:color w:val="000000"/>
          <w:sz w:val="20"/>
        </w:rPr>
        <w:t xml:space="preserve">significantly exacerbated labor shortages in the country, resulting in a significant increase in the compensation costs for healthcare professionals; however, that trend has abated. Fueled by heightened demand across most specialties, nurses saw significant pay increases during the pandemic causing health systems to struggle to maintain adequate core staff levels. During 2023, bill rates and pay rates adjusted as the impact of the pandemic continued to decline. While we believe the talent shortage is likely to persist into 2024, hospitals are continuing to balance their need for temporary talent with cost cutting measures.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remains challenging, especially for nursing. Our future results of operations and liquidity could be materially adversely affected by macroeconomic factors contributing to delays in payments from customers and inflationary pressure, uncertain or reduced demand, and the impact of any initiatives or programs that we may undertake to address financial and operational challenges faced by our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customers continue to right-size their needs and travel bill rates further normalize, we will continue to manage the business for long-term success and strategically position ourselves for future growth opportunities in the market. Regardless of how rates evolve, we are committed to continuing to grow our base of clinicians on assignment and our market share while maintaining the quality we are known for.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Business Model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seeking higher compensation, exploring diverse practice settings, building skills and experience by working at prestigious healthcare facilities, working through life and career transitions, and as a means of access into a permanent staff position all while practicing in the most appreciated and highly altruistic trade.</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(1)Our Healthcare Professionals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Nurse and Allied Staffing. </w:t>
      </w:r>
      <w:r>
        <w:rPr>
          <w:rFonts w:ascii="Times New Roman;sans-serif" w:hAnsi="Times New Roman;sans-serif"/>
          <w:b w:val="false"/>
          <w:color w:val="000000"/>
          <w:sz w:val="20"/>
        </w:rPr>
        <w:t xml:space="preserve">Our Company is well positioned to attract candidates, as clinical professionals routinely seek a wide range of diverse assignments in attractive locations, with competitive compensation and benefit packages, scheduling options, as well as a high level of service. We believe nurses and allied professionals are confident that we will be able to offer them new assignments as they complete their current assignment. Each of our nurse and allied healthcare professionals is employed by us and is typically paid an hourly wage and receive other benefits they are entitled to receive during the assignment period. Competitive benefits for our employees generally include professional liability and workers compensation insurance, a 401(k) plan, health insurance, reimbursed travel, per diem allowances, and housing.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Recruiters are an essential element of our Nurse and Allied Staffing business and are responsible for establishing and maintaining key relationships with candidates for the duration of their assignments. Leveraging our database of clinicians and artificial intelligence, recruiters match the supply of qualified candidates with the demand for open orders from customers. While word-of-mouth and referrals, especially from current and former healthcare professionals we have placed, continue as our leading channel of access to candidates, we also market our brands through strategic sourcing initiatives including programmatic strategic sourcing and extensive utilization of social media and mobile applications, which have become an increasingly important component of our recruitment efforts. In addition to maintaining engaging and intuitive websites to allow potential applicants to obtain information about the Company and assignment opportunities, we further enhanced Cross Country Marketplace, our proprietary mobile on-demand staffing platform, as a one-stop, self-service portal to support the candidates throughout their experience with Cross Country. Our self-service candidate portal, known as Xperience</w:t>
      </w:r>
      <w:r>
        <w:rPr>
          <w:rFonts w:ascii="Times New Roman;sans-serif" w:hAnsi="Times New Roman;sans-serif"/>
          <w:b w:val="false"/>
          <w:color w:val="000000"/>
          <w:sz w:val="13"/>
        </w:rPr>
        <w:t>TM</w:t>
      </w:r>
      <w:r>
        <w:rPr>
          <w:rFonts w:ascii="Times New Roman;sans-serif" w:hAnsi="Times New Roman;sans-serif"/>
          <w:b w:val="false"/>
          <w:color w:val="000000"/>
          <w:sz w:val="20"/>
        </w:rPr>
        <w:t>, provides our travel and allied healthcare professionals with real-time matching to open positions.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i/>
          <w:color w:val="000000"/>
          <w:sz w:val="20"/>
        </w:rPr>
        <w:t xml:space="preserve">Physician Staffing. </w:t>
      </w:r>
      <w:r>
        <w:rPr>
          <w:rFonts w:ascii="Times New Roman;sans-serif" w:hAnsi="Times New Roman;sans-serif"/>
          <w:b w:val="false"/>
          <w:color w:val="000000"/>
          <w:sz w:val="20"/>
        </w:rPr>
        <w:t>Cross Country Locums recruits and contracts with physicians and advanced practice professionals to provide medical services for its healthcare customers. We offer a wide variety of assignments, competitive fees, medical malpractice insurance, and a high level of service. Physicians or advanced practice professionals are independent contractors (unless prohibited by applicable law) and enter into agreements with Cross Country Locums to provide medical services at a particular healthcare facility or physician practice group based on terms and conditions specified by that customer, for assignments ranging from a few days up to a year.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(2)Sales and Marketing</w:t>
      </w:r>
      <w:r>
        <w:rPr>
          <w:rFonts w:ascii="Times New Roman;sans-serif" w:hAnsi="Times New Roman;sans-serif"/>
          <w:b/>
          <w:i/>
          <w:color w:val="000000"/>
          <w:sz w:val="20"/>
        </w:rPr>
        <w:t xml:space="preserve">. </w:t>
      </w:r>
      <w:r>
        <w:rPr>
          <w:rFonts w:ascii="Times New Roman;sans-serif" w:hAnsi="Times New Roman;sans-serif"/>
          <w:b w:val="false"/>
          <w:color w:val="000000"/>
          <w:sz w:val="20"/>
        </w:rPr>
        <w:t>We take an enterprise sales approach by marketing our full capabilities across the continuum of care to hospitals, healthcare facilities, schools, PACE programs, and other organizations across the U.S. addressing total talent management needs. We provide flexible workforce solutions to the healthcare, education, and PACE markets customizing delivery of diversified offerings to meet the specific needs of each customer.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delivery brands include Cross Country Nurses</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Allied</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Medical Staffing Network</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Search</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Locums</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Workforce Solutions Group</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Cross Country Education</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Intellify</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Talent Solutions, and Data Aggregation Services. Our recru</w:t>
      </w:r>
      <w:r>
        <w:rPr>
          <w:rFonts w:ascii="Times New Roman;sans-serif" w:hAnsi="Times New Roman;sans-serif"/>
          <w:b w:val="false"/>
          <w:color w:val="000000"/>
          <w:sz w:val="20"/>
        </w:rPr>
        <w:t>iters leverage the Company’s extensive databases of clinicians and healthcare professionals, as well as their expertise in their given specialties, to qualify and place healthcare candidates.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(3)Credentialing and Quality Management.</w:t>
      </w:r>
      <w:r>
        <w:rPr>
          <w:color w:val="000000"/>
        </w:rPr>
        <w:t xml:space="preserve"> </w:t>
      </w:r>
      <w:r>
        <w:rPr>
          <w:rFonts w:ascii="Times New Roman;sans-serif" w:hAnsi="Times New Roman;sans-serif"/>
          <w:b w:val="false"/>
          <w:color w:val="000000"/>
          <w:sz w:val="20"/>
        </w:rPr>
        <w:t>We screen all of our healthcare employees prior to placement through our credentialing departments. Our credentialing processes are designed to ensure that professionals have the requisite skill sets required by our customers, as well as the aptitude to meet the day-to-day requirements and challenges they would typically encounter on assignments where they are placed. The credentialing of our nurse and allied healthcare professionals is designed to ensure quality of care and align with the guidelines of The Joint Commission, a national accrediting body. Our physician credentialing entity, Credent, is also certified by the National Committee for Quality Assurance (NCQA).</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color w:val="000000"/>
          <w:sz w:val="20"/>
        </w:rPr>
        <w:t xml:space="preserve">Payment for Services. </w:t>
      </w:r>
      <w:r>
        <w:rPr>
          <w:rFonts w:ascii="Times New Roman;sans-serif" w:hAnsi="Times New Roman;sans-serif"/>
          <w:b w:val="false"/>
          <w:color w:val="000000"/>
          <w:sz w:val="20"/>
        </w:rPr>
        <w:t xml:space="preserve">Our shared service center processes hours worked by field employees in various time and attendance systems, which in turn generate billable transactions to our customers. Hours worked by independent contractor physicians are reported to our Cross Country Locums office. Billing for other services such as Recruitment Process Outsourcing (RPO), Search, or Project Management vary depending on the contract, but typically are invoiced upon the success of achieving agreed upon milestones or completion of specific deliverables, such as the placement of a candidate. On occasion, we are able to bill for the reimbursement of certain expenses incurred, such as candidate marketing costs, or set-up fees incurred for certain projects, such as travel costs for internal staff.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 xml:space="preserve">(5)Operations. </w:t>
      </w:r>
      <w:r>
        <w:rPr>
          <w:rFonts w:ascii="Times New Roman;sans-serif" w:hAnsi="Times New Roman;sans-serif"/>
          <w:b w:val="false"/>
          <w:color w:val="000000"/>
          <w:sz w:val="20"/>
        </w:rPr>
        <w:t>Our businesses are operated through a relatively centralized model, servicing all assignment needs of our healthcare professionals, physicians, and customer facilities, as well as support activities, such as coordinating housing, payroll processing, benefits administration, billing and collections, travel reimbursement processing, customer service, and risk management. These activities are performed by a predominantly remote work team, in addition to a few corporate offices.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 xml:space="preserve">(6)Information Systems. </w:t>
      </w:r>
      <w:r>
        <w:rPr>
          <w:rFonts w:ascii="Times New Roman;sans-serif" w:hAnsi="Times New Roman;sans-serif"/>
          <w:b w:val="false"/>
          <w:color w:val="000000"/>
          <w:sz w:val="20"/>
        </w:rPr>
        <w:t>Various information systems are utilized to run customer relationship management, recruitment, and placement functions based on our different brands. Some of these sophisticated applications are proprietary and are hosted in Tier 1 hosting facilities while other systems are Software as a Service (SaaS)-based and hosted by vendor partners. Our systems maintain detailed information about customer-required skill sets and status, which assists us in enabling fulfillment and assignment renewals. Our databases contain an extensive pool of existing and potential customers and all related recruitment and sales activity. Our financial and human resource systems are housed on enterprise resource planning software suites that manage certain aspects of accounts payable, accounts receivable, general ledger, billing, and human capital management. We manage our information systems with internal team members located both in the U.S. and in India. Cybersecurity remains a central focus point across our organization, including dedicated resources, iterative training for all employees, and third parties engaged to assist in monitoring and managing systems and devices, detecting cyber threats, and preventing breaches.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0"/>
        </w:rPr>
        <w:t>(7)Risk Management, Insurance, and Benefits.</w:t>
      </w:r>
      <w:r>
        <w:rPr>
          <w:color w:val="000000"/>
        </w:rPr>
        <w:t xml:space="preserve"> </w:t>
      </w:r>
      <w:r>
        <w:rPr>
          <w:rFonts w:ascii="Times New Roman;sans-serif" w:hAnsi="Times New Roman;sans-serif"/>
          <w:b w:val="false"/>
          <w:color w:val="000000"/>
          <w:sz w:val="20"/>
        </w:rPr>
        <w:t>Our risk management program is designed to ensure prompt notification of incidents, educational training to our employees, loss analysis, and timely reporting procedures to reduce our risk of exposure. We continuously review facts and incidents associated with professional liability and workers’ compensation claims in order to identify trends and reduce our risk of loss in the future where possible. We consider assessments provided by our customers and we work with clinicians and experts from our insurance carriers to determine employment eligibility and potential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workers’ compensation insurance coverage, professional liability coverage, and healthcare benefits for our eligible employed professionals. We record estimates of the ultimate cost of, and reserves for, workers’ compensation and professional liability benefits based on actuarial models prepared or reviewed by an independent actuary using our loss history as well as industry statistics, and include reserves for estimated claims incurred but not reported. On a quarterly basis, we estimate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maintains a number of insurance policies including general liability, workers’ compensation, fidelity, employment practices liability, fiduciary, directors and officers, cyber, property, and professional liability policies. These policies provide coverage for certain liabilities that may arise from our operations, subject to the policy’s terms, conditions, limits of liability, and deductibles. Any of the above policies may not be adequate for our needs, or we may not maintain all such policies in the future.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called upon by our customers to provide creative and innovative talent sourcing strategies across a continuum of care. Over the past several years, our workforce solutions have evolved into a total talent management approach as our customers focus on maintaining high-quality patient outcomes, while improving their total labor management to address complex financial, compliance, and other challenges within the healthcare industry. As part of this total talent management approach, we consider the following: (i) solving the immediate and future needs of our customers; (ii) enhancing our network of healthcare professionals by improving their experience; (iii) expanding service offerings to reduce sensitivity to economic cycles; (iv) expanding our expertise with various healthcare solutions in various geographic areas of the U.S.; (v) continuing to diversify our customer base to enhance long-term business prospects; and (vi) enhancing and expanding technology to deliver efficient and automated services to customer facilities. Our workforce solutions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Managed Service Programs (MSPs).</w:t>
      </w:r>
      <w:r>
        <w:rPr>
          <w:color w:val="000000"/>
        </w:rPr>
        <w:t xml:space="preserve"> </w:t>
      </w:r>
      <w:r>
        <w:rPr>
          <w:rFonts w:ascii="Times New Roman;sans-serif" w:hAnsi="Times New Roman;sans-serif"/>
          <w:b w:val="false"/>
          <w:color w:val="000000"/>
          <w:sz w:val="20"/>
        </w:rPr>
        <w:t xml:space="preserve">As healthcare providers continue to adopt centralized, outsourced models for managing contingent labor for both clinical and non-clinical needs, we offer an MSP in which we manage all or a portion of the customer’s staffing needs. This includes both the placement of our own healthcare professionals and the utilization of other staffing agencies. The benefits to our MSP customers include cost optimization, increased certainty of supply, visibility into labor needs and usage, and market insight from our industry expertise on a broad range of topics. We have </w:t>
      </w:r>
      <w:r>
        <w:rPr>
          <w:rFonts w:ascii="Times New Roman;sans-serif" w:hAnsi="Times New Roman;sans-serif"/>
          <w:b w:val="false"/>
          <w:color w:val="000000"/>
          <w:sz w:val="20"/>
          <w:shd w:fill="FFFFFF" w:val="clear"/>
        </w:rPr>
        <w:t>converted more than half of our</w:t>
      </w:r>
      <w:r>
        <w:rPr>
          <w:color w:val="000000"/>
        </w:rPr>
        <w:t xml:space="preserve"> </w:t>
      </w:r>
      <w:r>
        <w:rPr>
          <w:rFonts w:ascii="Times New Roman;sans-serif" w:hAnsi="Times New Roman;sans-serif"/>
          <w:b w:val="false"/>
          <w:color w:val="000000"/>
          <w:sz w:val="20"/>
        </w:rPr>
        <w:t>MSPs onto Intellify</w:t>
      </w:r>
      <w:r>
        <w:rPr>
          <w:rFonts w:ascii="Times New Roman;sans-serif" w:hAnsi="Times New Roman;sans-serif"/>
          <w:b w:val="false"/>
          <w:color w:val="000000"/>
          <w:sz w:val="13"/>
        </w:rPr>
        <w:t>®</w:t>
      </w:r>
      <w:r>
        <w:rPr>
          <w:rFonts w:ascii="Times New Roman;sans-serif" w:hAnsi="Times New Roman;sans-serif"/>
          <w:b w:val="false"/>
          <w:color w:val="000000"/>
          <w:sz w:val="20"/>
        </w:rPr>
        <w:t>, our SaaS-based, proprietary, vendor-neutral platform that provides analytics and real-time insights, with industry-leading dashboards and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Vendor Neutral Progam.</w:t>
      </w:r>
      <w:r>
        <w:rPr>
          <w:color w:val="000000"/>
        </w:rPr>
        <w:t xml:space="preserve"> </w:t>
      </w:r>
      <w:r>
        <w:rPr>
          <w:rFonts w:ascii="Times New Roman;sans-serif" w:hAnsi="Times New Roman;sans-serif"/>
          <w:b w:val="false"/>
          <w:color w:val="000000"/>
          <w:sz w:val="20"/>
        </w:rPr>
        <w:t>We also provide a vendor management system through our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which may also include the placement of our professionals or a menu of various other services. The benefits of our vendor neutral solution include control over the staffing program and suppliers, cost optimization, and visibility into labor needs and usage.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color w:val="000000"/>
          <w:sz w:val="20"/>
          <w:shd w:fill="FFFFFF" w:val="clear"/>
        </w:rPr>
        <w:t>In-Home Care Services.</w:t>
      </w:r>
      <w:r>
        <w:rPr>
          <w:color w:val="000000"/>
          <w:shd w:fill="FFFFFF" w:val="clear"/>
        </w:rPr>
        <w:t xml:space="preserve"> </w:t>
      </w:r>
      <w:r>
        <w:rPr>
          <w:rFonts w:ascii="Times New Roman;sans-serif" w:hAnsi="Times New Roman;sans-serif"/>
          <w:b w:val="false"/>
          <w:color w:val="000000"/>
          <w:sz w:val="20"/>
          <w:shd w:fill="FFFFFF" w:val="clear"/>
        </w:rPr>
        <w:t>Our Workforce Solutions Group division is a premier provider in clinical and non-clinical staffing for home health and senior care facilities, including Federally Qualified Health Centers (FQHCs), Community Health Centers (CHCs), and PACE centers, allowing aging populations to remain in their homes as long as clinically advisable. We are a full-service partner, with market expertise and a breadth of services, including contingent staffing, consulting, human capital, management solutions, recruitment process outsourcing, vendor management, and direct hiring.</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color w:val="000000"/>
          <w:sz w:val="20"/>
          <w:shd w:fill="FFFFFF" w:val="clear"/>
        </w:rPr>
        <w:t>Education Healthcare Services.</w:t>
      </w:r>
      <w:r>
        <w:rPr>
          <w:color w:val="000000"/>
          <w:shd w:fill="FFFFFF" w:val="clear"/>
        </w:rPr>
        <w:t xml:space="preserve"> </w:t>
      </w:r>
      <w:r>
        <w:rPr>
          <w:rFonts w:ascii="Times New Roman;sans-serif" w:hAnsi="Times New Roman;sans-serif"/>
          <w:b w:val="false"/>
          <w:color w:val="000000"/>
          <w:sz w:val="20"/>
          <w:shd w:fill="FFFFFF" w:val="clear"/>
        </w:rPr>
        <w:t>Through Cross Country Education, we service the education industry. Focusing our knowledge and resources on engaging with and understanding educational organizations, industry trends, and leadership challenges, we provide a wide range of services to our educational partners to meet their individual needs, including special education providers, substitute teachers, behavioral aides, speech language pathologists, and occupational therapists, among others. We also fulfill HR-related tasks, alleviating human resource and administrative paperwork so school administrators can focus on student success.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Recruitment Process Outsourcing (RPO).</w:t>
      </w:r>
      <w:r>
        <w:rPr>
          <w:color w:val="000000"/>
        </w:rPr>
        <w:t xml:space="preserve"> </w:t>
      </w:r>
      <w:r>
        <w:rPr>
          <w:rFonts w:ascii="Times New Roman;sans-serif" w:hAnsi="Times New Roman;sans-serif"/>
          <w:b w:val="false"/>
          <w:color w:val="000000"/>
          <w:sz w:val="20"/>
        </w:rPr>
        <w:t>Through our RPO services, we offer targeted recruitment solutions designed to increase core staff while reducing dependency on contract labor. Our RPO program provides support to replace or complement a customer’s existing internal recruitment functions for permanent hiring needs and is delivered to healthcare organizations throughout the country and serves to provide creative, cost and operationally efficient hiring support and labor optimization, which leads to improvements in quality of care.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Project Management.</w:t>
      </w:r>
      <w:r>
        <w:rPr>
          <w:color w:val="000000"/>
        </w:rPr>
        <w:t xml:space="preserve"> </w:t>
      </w:r>
      <w:r>
        <w:rPr>
          <w:rFonts w:ascii="Times New Roman;sans-serif" w:hAnsi="Times New Roman;sans-serif"/>
          <w:b w:val="false"/>
          <w:color w:val="000000"/>
          <w:sz w:val="20"/>
          <w:shd w:fill="FFFFFF" w:val="clear"/>
        </w:rPr>
        <w:t xml:space="preserve">Periodically, our customers have urgent needs that fall outside the scope of an MSP arrangement and require a more focused effort to place staff within a very short window. </w:t>
      </w:r>
      <w:r>
        <w:rPr>
          <w:rFonts w:ascii="Times New Roman;sans-serif" w:hAnsi="Times New Roman;sans-serif"/>
          <w:b w:val="false"/>
          <w:color w:val="000000"/>
          <w:sz w:val="20"/>
        </w:rPr>
        <w:t xml:space="preserve">For example, as healthcare systems continue to upgrade their electronic medical records or encounter a labor disruption, we can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project management, deployment of a full staffing plan, and ultimately an organized volume of quality healthcare professionals during the process so that customers may continue to deliver quality care.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Executive and Contingent Search.</w:t>
      </w:r>
      <w:r>
        <w:rPr>
          <w:color w:val="000000"/>
        </w:rPr>
        <w:t xml:space="preserve"> </w:t>
      </w:r>
      <w:r>
        <w:rPr>
          <w:rFonts w:ascii="Times New Roman;sans-serif" w:hAnsi="Times New Roman;sans-serif"/>
          <w:b w:val="false"/>
          <w:color w:val="000000"/>
          <w:sz w:val="20"/>
        </w:rPr>
        <w:t>Similar to RPO, we seek to identify and place candidates in full-time roles, across clinical, executive, or administrative functions. These services are offered for specific roles and are contracted on a contingent basis, which has a success fee once placement has occurred.</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Other Services.</w:t>
      </w:r>
      <w:r>
        <w:rPr>
          <w:color w:val="000000"/>
        </w:rPr>
        <w:t xml:space="preserve"> </w:t>
      </w:r>
      <w:r>
        <w:rPr>
          <w:rFonts w:ascii="Times New Roman;sans-serif" w:hAnsi="Times New Roman;sans-serif"/>
          <w:b w:val="false"/>
          <w:color w:val="000000"/>
          <w:sz w:val="20"/>
        </w:rPr>
        <w:t>We offer other value-added services such as Internal Resource Pool (IRP) Consulting &amp; Development, Optimal Workforce Solutions (OWS), and Data Aggregation Services (DAS). These services seek to augment our customer’s capabilities with managing, supplementing, and outsourcing aspects of their internal processes of managing their workforce. DAS provides healthcare systems with bill rate transparency and can be embedded within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 offered on a stand-alone basis.</w:t>
      </w:r>
    </w:p>
    <w:p>
      <w:pPr>
        <w:pStyle w:val="TextBody"/>
        <w:bidi w:val="0"/>
        <w:spacing w:before="0" w:after="0"/>
        <w:jc w:val="left"/>
        <w:rPr/>
      </w:pPr>
      <w:r>
        <w:rPr/>
      </w:r>
    </w:p>
    <w:p>
      <w:pPr>
        <w:pStyle w:val="TextBody"/>
        <w:bidi w:val="0"/>
        <w:spacing w:lineRule="auto" w:line="268" w:before="0" w:after="1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Geographic Markets and Customer Base</w:t>
      </w:r>
    </w:p>
    <w:p>
      <w:pPr>
        <w:pStyle w:val="TextBody"/>
        <w:bidi w:val="0"/>
        <w:spacing w:lineRule="auto" w:line="288" w:before="0" w:after="0"/>
        <w:jc w:val="left"/>
        <w:rPr/>
      </w:pPr>
      <w:r>
        <w:rPr>
          <w:rFonts w:ascii="Times New Roman;sans-serif" w:hAnsi="Times New Roman;sans-serif"/>
          <w:b w:val="false"/>
          <w:color w:val="000000"/>
          <w:sz w:val="20"/>
        </w:rPr>
        <w:t>In 2023, 2022, and 2021, our revenue was generated primarily in the U.S., and all of our long-lived assets were located in the U.S. and India. We provide our staffing services and workforce solutions in</w:t>
      </w:r>
      <w:r>
        <w:rPr>
          <w:color w:val="000000"/>
          <w:shd w:fill="FFFFFF" w:val="clear"/>
        </w:rPr>
        <w:t xml:space="preserve"> </w:t>
      </w:r>
      <w:r>
        <w:rPr>
          <w:rFonts w:ascii="Times New Roman;sans-serif" w:hAnsi="Times New Roman;sans-serif"/>
          <w:b w:val="false"/>
          <w:color w:val="000000"/>
          <w:sz w:val="20"/>
          <w:shd w:fill="FFFFFF" w:val="clear"/>
        </w:rPr>
        <w:t>all 50 sta</w:t>
      </w:r>
      <w:r>
        <w:rPr>
          <w:rFonts w:ascii="Times New Roman;sans-serif" w:hAnsi="Times New Roman;sans-serif"/>
          <w:b w:val="false"/>
          <w:color w:val="000000"/>
          <w:sz w:val="20"/>
        </w:rPr>
        <w:t>tes. During 2023, the largest percentage of our revenue was concentrated in</w:t>
      </w:r>
      <w:r>
        <w:rPr>
          <w:color w:val="000000"/>
          <w:shd w:fill="FFFFFF" w:val="clear"/>
        </w:rPr>
        <w:t xml:space="preserve"> </w:t>
      </w:r>
      <w:r>
        <w:rPr>
          <w:rFonts w:ascii="Times New Roman;sans-serif" w:hAnsi="Times New Roman;sans-serif"/>
          <w:b w:val="false"/>
          <w:color w:val="000000"/>
          <w:sz w:val="20"/>
          <w:shd w:fill="FFFFFF" w:val="clear"/>
        </w:rPr>
        <w:t>California, Florida, and New York. W</w:t>
      </w:r>
      <w:r>
        <w:rPr>
          <w:rFonts w:ascii="Times New Roman;sans-serif" w:hAnsi="Times New Roman;sans-serif"/>
          <w:b w:val="false"/>
          <w:color w:val="000000"/>
          <w:sz w:val="20"/>
        </w:rPr>
        <w:t xml:space="preserve">e provide services to public and private acute care and non-acute care hospitals, outpatient clinics, ambulatory care facilities, single and multi-specialty physician practices, rehabilitation facilities, PACE programs, urgent care centers, public and charter schools, correctional facilities, government facilities, retailers, and many other healthcare providers. For the years ended </w:t>
      </w:r>
      <w:r>
        <w:rPr>
          <w:rFonts w:ascii="Times New Roman;sans-serif" w:hAnsi="Times New Roman;sans-serif"/>
          <w:b w:val="false"/>
          <w:color w:val="000000"/>
          <w:sz w:val="20"/>
          <w:shd w:fill="FFFFFF" w:val="clear"/>
        </w:rPr>
        <w:t>December 31, 2023, 2022</w:t>
      </w:r>
      <w:r>
        <w:rPr>
          <w:rFonts w:ascii="Times New Roman;sans-serif" w:hAnsi="Times New Roman;sans-serif"/>
          <w:b w:val="false"/>
          <w:color w:val="000000"/>
          <w:sz w:val="20"/>
        </w:rPr>
        <w:t>, and 2021,</w:t>
      </w:r>
      <w:r>
        <w:rPr>
          <w:color w:val="000000"/>
          <w:shd w:fill="FFFFFF" w:val="clear"/>
        </w:rPr>
        <w:t xml:space="preserve"> </w:t>
      </w:r>
      <w:r>
        <w:rPr>
          <w:rFonts w:ascii="Times New Roman;sans-serif" w:hAnsi="Times New Roman;sans-serif"/>
          <w:b w:val="false"/>
          <w:color w:val="000000"/>
          <w:sz w:val="20"/>
          <w:shd w:fill="FFFFFF" w:val="clear"/>
        </w:rPr>
        <w:t xml:space="preserve">no customer </w:t>
      </w:r>
      <w:r>
        <w:rPr>
          <w:rFonts w:ascii="Times New Roman;sans-serif" w:hAnsi="Times New Roman;sans-serif"/>
          <w:b w:val="false"/>
          <w:color w:val="000000"/>
          <w:sz w:val="20"/>
        </w:rPr>
        <w:t>accounted for more th</w:t>
      </w:r>
      <w:r>
        <w:rPr>
          <w:rFonts w:ascii="Times New Roman;sans-serif" w:hAnsi="Times New Roman;sans-serif"/>
          <w:b w:val="false"/>
          <w:color w:val="000000"/>
          <w:sz w:val="20"/>
          <w:shd w:fill="FFFFFF" w:val="clear"/>
        </w:rPr>
        <w:t xml:space="preserve">an 10% of </w:t>
      </w:r>
      <w:r>
        <w:rPr>
          <w:rFonts w:ascii="Times New Roman;sans-serif" w:hAnsi="Times New Roman;sans-serif"/>
          <w:b w:val="false"/>
          <w:color w:val="000000"/>
          <w:sz w:val="20"/>
        </w:rPr>
        <w:t>our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We compete in the U.S. temporary healthcare staffing and workforce solutions markets. Staffing Industry Analysts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September 2023 report estimates the 2023 healthcare staffing markets had an aggregate market size of $55.7 billion, of which $29.9 billion was travel nursing, $7.0 billion was per diem nursing, $11.6 billion was allied health, and $7.2 billion was locum tenens and advanced practitioners. The demand for our services is impacted by many factors, of which we believe the most significant are the following:</w:t>
      </w:r>
    </w:p>
    <w:p>
      <w:pPr>
        <w:pStyle w:val="TextBody"/>
        <w:bidi w:val="0"/>
        <w:spacing w:before="0" w:after="0"/>
        <w:ind w:left="0" w:right="0" w:firstLine="45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Supply and Demand Drivers</w:t>
      </w:r>
    </w:p>
    <w:p>
      <w:pPr>
        <w:pStyle w:val="TextBody"/>
        <w:bidi w:val="0"/>
        <w:spacing w:lineRule="auto" w:line="288" w:before="0" w:after="0"/>
        <w:jc w:val="left"/>
        <w:rPr/>
      </w:pPr>
      <w:r>
        <w:rPr>
          <w:rFonts w:ascii="Times New Roman;sans-serif" w:hAnsi="Times New Roman;sans-serif"/>
          <w:b/>
          <w:color w:val="000000"/>
          <w:sz w:val="20"/>
        </w:rPr>
        <w:t xml:space="preserve">Healthcare Backdrop. </w:t>
      </w:r>
      <w:r>
        <w:rPr>
          <w:rFonts w:ascii="Times New Roman;sans-serif" w:hAnsi="Times New Roman;sans-serif"/>
          <w:b w:val="false"/>
          <w:color w:val="000000"/>
          <w:sz w:val="20"/>
        </w:rPr>
        <w:t>According to the Staffing Industry Analysts’ “US Staffing Industry Pulse Survey Report” (November 2023), travel nurse staffing was down 21% year-over-year, and per diem nursing was down 14%. Median revenue growth was positive in locum tenens, up 20%, and allied healthcare was up 2%. Staffing Industry Analysts’ “US Staffing Industry Forecast: September 2023 Update” (September 12, 2023) forecasts moderate continued expansion in the locum tenens segment, with a modest decline in the allied healthcare segment and a moderate decline in the per diem nurse segment. The travel nurse segment is forecasted to significantly decrease as volumes decline and pay rates and bill rates decrease. According to the most recent Bureau of Labor Statistics 10-year projections (September 6, 2023), overall, employment is expected to grow 0.3% annually, with the healthcare and social assistance sector adding the most new jobs (2.1 million). Within healthcare, the individual and family services industry is projected to increase the fastest with an annual growth rate of 2.2%. Employment growth in healthcare is expected to be driven by the aging baby-boomer population and a higher prevalence of chronic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Supply of Nurses. </w:t>
      </w:r>
      <w:r>
        <w:rPr>
          <w:rFonts w:ascii="Times New Roman;sans-serif" w:hAnsi="Times New Roman;sans-serif"/>
          <w:b w:val="false"/>
          <w:color w:val="000000"/>
          <w:sz w:val="20"/>
        </w:rPr>
        <w:t xml:space="preserve">According to the Bureau of Labor Statistics’ Occupational Outlook Handbook (September 6, 2023), employment of registered nurses is projected to grow 6%, or 177,400, from 2022 to 2032, faster than the average for all occupations. The registered nurse workforce is expected to grow from 3.2 million in 2022 to 3.3 million in 2032. The Bureau of Labor Statistics also projects the need for an additional 193,100 new registered nurses each year, on average, through 2032, factoring in nurse retirements and workforce exits.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Physician Shortage.</w:t>
      </w:r>
      <w:r>
        <w:rPr>
          <w:color w:val="000000"/>
          <w:shd w:fill="FFFFFF" w:val="clear"/>
        </w:rPr>
        <w:t xml:space="preserve"> </w:t>
      </w:r>
      <w:r>
        <w:rPr>
          <w:rFonts w:ascii="Times New Roman;sans-serif" w:hAnsi="Times New Roman;sans-serif"/>
          <w:b w:val="false"/>
          <w:color w:val="000000"/>
          <w:sz w:val="20"/>
        </w:rPr>
        <w:t>According to the Bureau of Labor Statistics’ Occupational Outlook Handbook (September 6, 2023), employment of physicians and surgeons is projected to grow 3% from 2022 to 2032, about as fast as the average for all occupations. About 24,200 openings for physicians and surgeons are projected each year, on average, over the decade</w:t>
      </w:r>
      <w:r>
        <w:rPr>
          <w:rFonts w:ascii="Times New Roman;sans-serif" w:hAnsi="Times New Roman;sans-serif"/>
          <w:b w:val="false"/>
          <w:color w:val="000000"/>
          <w:sz w:val="20"/>
          <w:shd w:fill="FFFFFF" w:val="clear"/>
        </w:rPr>
        <w:t>. According to the Association of American Medical Colleges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(AAMC) “AAMC Supports Resident Physician Shortage Reduction Act of 2023” (March 2023), the United States faces a projected physician shortage of up to 124,000 by 2034, with demand for physicians outpacing supply. Population growth and aging serve as the primary drivers of increasing demand for physician services.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shd w:fill="FFFFFF" w:val="clear"/>
        </w:rPr>
        <w:t xml:space="preserve">Increased Need for Healthcare and Special Education Services in Schools. </w:t>
      </w:r>
      <w:r>
        <w:rPr>
          <w:rFonts w:ascii="Times New Roman;sans-serif" w:hAnsi="Times New Roman;sans-serif"/>
          <w:b w:val="false"/>
          <w:color w:val="000000"/>
          <w:sz w:val="20"/>
          <w:shd w:fill="FFFFFF" w:val="clear"/>
        </w:rPr>
        <w:t>According to the U.S. Department of Education, National Center for Education Statistic Report titled “The Condition of Education” (May 24, 2023),</w:t>
      </w:r>
      <w:r>
        <w:rPr>
          <w:color w:val="222222"/>
          <w:shd w:fill="FFFFFF" w:val="clear"/>
        </w:rPr>
        <w:t xml:space="preserve"> </w:t>
      </w:r>
      <w:r>
        <w:rPr>
          <w:rFonts w:ascii="Times New Roman;sans-serif" w:hAnsi="Times New Roman;sans-serif"/>
          <w:b w:val="false"/>
          <w:color w:val="222222"/>
          <w:sz w:val="20"/>
          <w:shd w:fill="FFFFFF" w:val="clear"/>
        </w:rPr>
        <w:t xml:space="preserve">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left"/>
        <w:rPr/>
      </w:pPr>
      <w:r>
        <w:rPr>
          <w:rFonts w:ascii="Times New Roman;sans-serif" w:hAnsi="Times New Roman;sans-serif"/>
          <w:b w:val="false"/>
          <w:color w:val="222222"/>
          <w:sz w:val="20"/>
          <w:shd w:fill="FFFFFF" w:val="clear"/>
        </w:rPr>
        <w:t>2021 to 2022, the number of students ages three to 21 who received special education services under the Individuals with Disabilities Education Act (IDEA) was 7.3 million, or 15% of all public school students.</w:t>
      </w:r>
      <w:r>
        <w:rPr>
          <w:color w:val="000000"/>
          <w:shd w:fill="FFFFFF" w:val="clear"/>
        </w:rPr>
        <w:t xml:space="preserve"> </w:t>
      </w:r>
      <w:r>
        <w:rPr>
          <w:rFonts w:ascii="Times New Roman;sans-serif" w:hAnsi="Times New Roman;sans-serif"/>
          <w:b w:val="false"/>
          <w:color w:val="000000"/>
          <w:sz w:val="20"/>
          <w:shd w:fill="FFFFFF" w:val="clear"/>
        </w:rPr>
        <w:t>IDEA requires that these children and young adults receive care from speech language pathologists, physical therapists, occupational therapists, nurses, and other healthcare professionals while at school.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Macro Drivers of Demand.</w:t>
      </w:r>
      <w:r>
        <w:rPr>
          <w:color w:val="000000"/>
          <w:shd w:fill="FFFFFF" w:val="clear"/>
        </w:rPr>
        <w:t xml:space="preserve"> </w:t>
      </w:r>
      <w:r>
        <w:rPr>
          <w:rFonts w:ascii="Times New Roman;sans-serif" w:hAnsi="Times New Roman;sans-serif"/>
          <w:b w:val="false"/>
          <w:color w:val="000000"/>
          <w:sz w:val="20"/>
          <w:shd w:fill="FFFFFF" w:val="clear"/>
        </w:rPr>
        <w:t>The aging U.S. population is creating many challenges regarding elderly healthcare. By 2030, one out of every five U.S. citizens will be of retirement age. Every baby boomer will be 65 or older and the oldest close to 85. The U.S. Department of Health and Human Services estimates that a person turning 65 today has a 70% chance of requiring long-term care services at some point. As the massive baby boomer generation ages, demand for nursing facilities will continue to climb. According to a survey by the American Health Care Association and National Center for Assisted Living, 87% of nursing homes deal with moderate to high staffing shortages, and 61% limit new admissions due to workforce issues.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alternative to address these challenges, PACE, a Medicare/Medicaid at-home care program, was created for older adults and people over age 55 living with disabilities. This program provides community-based care and services to people who otherwise would need nursing home levels of care. An Aging in Place study showed that 70% of respondents preferred to age at home. The focus of every PACE organization is to help individuals live in the community for as long as possible. To meet this goal, these organizations focus on preventive care. According to the National PACE Association (NPA), seniors over the age of 65 represent 83% of its members, and 17% of its members are between the ages of 55 and 64. Although all people enrolled in this program are eligible for nursing home care, less than 5% live in nursing homes. On average, states pay PACE programs 12% less than the cost of caring for a comparable population through other Medicaid services, including nursing homes.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one of the largest providers of workforce solutions and healthcare staffing in the U.S., Cross Country operates on a national, regional, and local basis in a highly competitive industry for both healthcare customers and healthcare professionals. In general, we compete against other national companies, as well as numerous smaller, regional, and local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competitive factors in attracting, retaining, and expanding business with healthcare customers nationally include: (i) understanding the customer’s environment; (ii) offering a comprehensive suite of services to assist in assessing personnel needs; (iii) partnering with customers to design various customizable alternative solutions; (iv) timely filling of customers’ needs; (v) price; (vi) customer service; (vii) quality assurance and screening capabilities; (viii) risk management policies; (ix) insurance coverage; and (x) general industry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Through our breadth of and expertise in value-added workforce solutions and tech-enabled services, we have the ability to meet a national shift towards a more integrated delivery of healthcare, which allows us to assist hospitals and health systems turning to</w:t>
      </w:r>
      <w:r>
        <w:rPr>
          <w:color w:val="000000"/>
        </w:rPr>
        <w:t xml:space="preserve"> </w:t>
      </w:r>
      <w:r>
        <w:rPr>
          <w:rFonts w:ascii="Times New Roman;sans-serif" w:hAnsi="Times New Roman;sans-serif"/>
          <w:b w:val="false"/>
          <w:color w:val="000000"/>
          <w:sz w:val="20"/>
        </w:rPr>
        <w:t>lower-cost, more accessible alternatives, such as outpatient or ambulatory care centers. In today’s environment, healthcare systems that experienced major cost pressures throughout the COVID-19 pandemic are seeking alternatives to lower costs, with a trend towards vendor neutral and tech-enabled platforms. Our new technology solutions, such as Intellify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will help our customers better manage their spend. By offering travel, per diem, and permanent placement of a variety of healthcare professionals, we are able to present many different types of personnel to hospitals and health systems at their main campuses and their ambulatory and outpatient facilities.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From a candidate attraction standpoint, we have an extensive customer base with hospitals, healthcare facilities, and other healthcare providers throughout the U.S. As a result, we have a diverse portfolio of assignments for healthcare professionals to choose from. Healthcare professionals apply with us through our differentiated nursing, locum tenens, and allied healthcare recruitment brands. We believe our access to such a large and diverse group of healthcare professionals makes us more attractive to healthcare institutions and facilities seeking healthcare staffing and workforce solutions in the current marketplace. Our applicant tracking system for our travel nurse and allied professionals business provides a world-class candidate experience. Our self-service candidate portal, Xperience</w:t>
      </w:r>
      <w:r>
        <w:rPr>
          <w:rFonts w:ascii="Times New Roman;sans-serif" w:hAnsi="Times New Roman;sans-serif"/>
          <w:b w:val="false"/>
          <w:color w:val="000000"/>
          <w:sz w:val="13"/>
        </w:rPr>
        <w:t>TM</w:t>
      </w:r>
      <w:r>
        <w:rPr>
          <w:rFonts w:ascii="Times New Roman;sans-serif" w:hAnsi="Times New Roman;sans-serif"/>
          <w:b w:val="false"/>
          <w:color w:val="000000"/>
          <w:sz w:val="20"/>
        </w:rPr>
        <w:t>, provides travel and allied professionals with real-time matching to open positions.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Staffing Industry Analysts recognized us as a leading healthcare staffing firm in the U.S., with 4% market share in 2022. We rank as one of the largest firms in travel nurse staffing, per diem nurse staffing, allied healthcare staffing, and locum tenens. Some of our traditional competitors in the workforce solutions, healthcare staffing, and search businesses include: AMN Healthcare Services, CHG Healthcare Services, Jackson Healthcare, Aya Healthcare, Maxim Healthcare Staffing, ProLink Staffing, Ingenovis Health, and Medical Solutions. In recent years, several technology-enabled companies have entered the market, though at present we believe the current scale is limited.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healthcare professionals on assignment with us is subject to seasonal fluctuations which may impact quarterly revenue and earnings. Hospital patient census and staffing needs of hospital and healthcare facilities may fluctuate, for example, during flu season. This seasonality of revenue and earnings may vary due to a variety of factors and the results of any one quarter are not necessarily indicative of the results to be expected for any other quarter or for any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staffing businesses of our brands are certified by The Joint Commission under its Health Care Staffing Services Certification Program. The Joint Commission is the recognized global leader for healthcare accreditation. Certification promotes a culture of excellence across the organization and is recognized nationwide as a symbol of quality that reflects an organization’s commitment to meeting certain performance standards. In addition, Credent Verification and Licensing Services, our physician credentialing entity and an affiliate of Medical Doctor Associates, is certified by the NCQA.</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regulations by numerous governmental authorities in the jurisdictions in which we operate throughout the U.S. Complex federal and state laws and regulations govern, among other things, the licensure of professionals, the payment of our employees (e.g., wage and hour laws, employment taxes, and income tax withholdings), state licensing and reporting requirements, privacy, and our general operations, which may be amended from time to time. Future federal and state legislation or interpretations thereof may require us to change our business practices. Compliance with all of these applicable rules and regulations requires a significant amount of resources. We endeavor to be in compliance with all such rules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Social Responsibility (CSR)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(Board) regularly meets with management to discuss CSR-related topics.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CSR Overview - 2023 Highlight</w:t>
      </w:r>
      <w:r>
        <w:rPr>
          <w:rFonts w:ascii="Times New Roman;sans-serif" w:hAnsi="Times New Roman;sans-serif"/>
          <w:b w:val="false"/>
          <w:color w:val="000000"/>
          <w:sz w:val="20"/>
        </w:rPr>
        <w:t>s:</w:t>
      </w:r>
    </w:p>
    <w:p>
      <w:pPr>
        <w:pStyle w:val="TextBody"/>
        <w:bidi w:val="0"/>
        <w:spacing w:before="0" w:after="0"/>
        <w:jc w:val="left"/>
        <w:rPr/>
      </w:pPr>
      <w:r>
        <w:rPr/>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remain steadfast in our commitment to accelerate employability and access to career growth, continue to be a preferred employer, partner with our customers, and drive positive social impacts.</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Our approach is informed by topics assessed as critical to the business by internal and external stakeholders such as, but not limited to, strong corporate governance, risk oversight and management, business ethics, talent attraction and retention, career development, training and education, safety, health and wellness, technology innovation, and access to quality healthcare. </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Our Board has full responsibility for risk oversight, which occurs at the full Board level and at committees assigned critical risks. The CEO and executive leadership are responsible for alignment of CSR commitments and business strategy. Senior management outlines programs and assigns resources to support CSR commitments and mitigate risk. Executive leadership reports to and consults with both the Board and Board committees regularly to assess CSR risks and program performance.</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aim to accelerate employability and continue to be a preferred employer for candidates by connecting them to positions that are meaningful and conducive to career growth through our Xperience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technology. We continue to support healthcare professionals’ needs through a 24/7 hotline, specialized teams, and education and training tuition discount opportunities.</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are committed to supporting our communities through several charities.</w:t>
      </w:r>
      <w:r>
        <w:rPr>
          <w:color w:val="000000"/>
          <w:shd w:fill="FFFFFF" w:val="clear"/>
        </w:rPr>
        <w:t xml:space="preserve"> </w:t>
      </w:r>
      <w:r>
        <w:rPr>
          <w:rFonts w:ascii="Times New Roman;sans-serif" w:hAnsi="Times New Roman;sans-serif"/>
          <w:b w:val="false"/>
          <w:color w:val="000000"/>
          <w:sz w:val="20"/>
          <w:shd w:fill="FFFFFF" w:val="clear"/>
        </w:rPr>
        <w:t>We remain a loyal supporter of the American Red Cross, Leukemia and Lymphoma Society, Breast Cancer Research Foundation, Random Acts of Flowers, Alzheimer</w:t>
      </w:r>
      <w:r>
        <w:rPr>
          <w:color w:val="000000"/>
        </w:rPr>
        <w:t>’</w:t>
      </w:r>
      <w:r>
        <w:rPr>
          <w:rFonts w:ascii="Times New Roman;sans-serif" w:hAnsi="Times New Roman;sans-serif"/>
          <w:b w:val="false"/>
          <w:color w:val="000000"/>
          <w:sz w:val="20"/>
          <w:shd w:fill="FFFFFF" w:val="clear"/>
        </w:rPr>
        <w:t>s Association, Palm Beach County School Board, and Spirit of Giving Holiday Gift Drive, among others. We also partner with the American Rivers Conservation and provide scholarships to the American Black Nurses Association.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In 2023, Employee Resource Groups (e.g., LGBTQIA+ &amp; Allies, Green Group, Parents &amp; Caregivers) have offered insights and support to their members and promoted meaningful advances, such as the expansion of parental leave benefits. </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We successfully maintained the Company’s diversity of corporate employees, includ</w:t>
      </w:r>
      <w:r>
        <w:rPr>
          <w:rFonts w:ascii="Times New Roman;sans-serif" w:hAnsi="Times New Roman;sans-serif"/>
          <w:b w:val="false"/>
          <w:color w:val="000000"/>
          <w:sz w:val="20"/>
          <w:shd w:fill="FFFFFF" w:val="clear"/>
        </w:rPr>
        <w:t xml:space="preserve">ing 77% women and more than 40% </w:t>
      </w:r>
      <w:r>
        <w:rPr>
          <w:rFonts w:ascii="Times New Roman;sans-serif" w:hAnsi="Times New Roman;sans-serif"/>
          <w:b w:val="false"/>
          <w:color w:val="000000"/>
          <w:sz w:val="20"/>
        </w:rPr>
        <w:t>individuals from underrepresented communities, as described further below under “Human Capital Management.”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Health Equity</w:t>
      </w:r>
      <w:r>
        <w:rPr>
          <w:rFonts w:ascii="Times New Roman;sans-serif" w:hAnsi="Times New Roman;sans-serif"/>
          <w:b w:val="false"/>
          <w:color w:val="000000"/>
          <w:sz w:val="20"/>
          <w:shd w:fill="FFFFFF" w:val="clear"/>
        </w:rPr>
        <w:t>. Our locum tenens line of business, Cross Country Locums, has been certified by the NCQA, the leader in healthcare accreditation, since 2001. We are the first publicly traded staffing firm to obtain The Joint Commission Certification, which we still hold with a Letter of Distinction. In 2023, we were once again certified by The Joint Commission with no deficiencies. Cross Country Healthcare was named to ClearlyRated</w:t>
      </w:r>
      <w:r>
        <w:rPr>
          <w:color w:val="000000"/>
        </w:rPr>
        <w:t>’</w:t>
      </w:r>
      <w:r>
        <w:rPr>
          <w:rFonts w:ascii="Times New Roman;sans-serif" w:hAnsi="Times New Roman;sans-serif"/>
          <w:b w:val="false"/>
          <w:color w:val="000000"/>
          <w:sz w:val="20"/>
          <w:shd w:fill="FFFFFF" w:val="clear"/>
        </w:rPr>
        <w:t>s 2023 Inaugural Best Staffing Firms for Women, and is Certified™ by Great Place to Work</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For four consecutive years, we have received the Top Workplaces USA award from Energage</w:t>
      </w:r>
      <w:r>
        <w:rPr>
          <w:rFonts w:ascii="Times New Roman;sans-serif" w:hAnsi="Times New Roman;sans-serif"/>
          <w:b w:val="false"/>
          <w:color w:val="444444"/>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We have recently been recognized with a Best Company Culture Award™ and Best Company for Diversity Award™, among others, from Comparably, and were named in the 2024 Best Companies to Work For on U.S. News &amp; World Report</w:t>
      </w:r>
      <w:r>
        <w:rPr>
          <w:color w:val="000000"/>
        </w:rPr>
        <w:t>’</w:t>
      </w:r>
      <w:r>
        <w:rPr>
          <w:rFonts w:ascii="Times New Roman;sans-serif" w:hAnsi="Times New Roman;sans-serif"/>
          <w:b w:val="false"/>
          <w:color w:val="000000"/>
          <w:sz w:val="20"/>
          <w:shd w:fill="FFFFFF" w:val="clear"/>
        </w:rPr>
        <w:t>s inaugural list. We have a history of investing in diversity, equality, and inclusion as a key component of the organization’s overall CSR program, closely aligned with its core values to create a better future for its people, communities, and its stockholders.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Corporate Governance</w:t>
      </w:r>
      <w:r>
        <w:rPr>
          <w:rFonts w:ascii="Times New Roman;sans-serif" w:hAnsi="Times New Roman;sans-serif"/>
          <w:b w:val="false"/>
          <w:color w:val="000000"/>
          <w:sz w:val="20"/>
          <w:shd w:fill="FFFFFF" w:val="clear"/>
        </w:rPr>
        <w:t>. We believe a framework that supports integrity and high ethical standards is key to the long-term success of our business. This framework is the foundation of trust with employees, customers and vendors and is of the utmost importance in all that we do. The Board oversees the Company’s enterprise risk management function to help ensure that communication among the Board, its committees and management on risk, strategic, ESG, cybersecurity, and other matters is open, continuous, and robust.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corporate governance begins with having the right skillsets and knowledge to oversee the business and manage risks. With this in mind, Board refreshment and identifying the right expertise to support our strategic initiatives are key. This is why in 2022 and the early part of 2023, we refreshed our Board membership with two directors who bring new perspectives, diversity of background and experiences, and knowledge to our Board. At this time, three of our board members self-identify as ethnically diverse, two identify as female, and three of the eight board members were appointed within the last two years.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Management</w:t>
      </w:r>
    </w:p>
    <w:p>
      <w:pPr>
        <w:pStyle w:val="TextBody"/>
        <w:bidi w:val="0"/>
        <w:spacing w:lineRule="auto" w:line="288" w:before="0" w:after="0"/>
        <w:jc w:val="left"/>
        <w:rPr/>
      </w:pPr>
      <w:r>
        <w:rPr>
          <w:rFonts w:ascii="Times New Roman;sans-serif" w:hAnsi="Times New Roman;sans-serif"/>
          <w:b w:val="false"/>
          <w:color w:val="000000"/>
          <w:sz w:val="20"/>
        </w:rPr>
        <w:t>As of December 31, 2023, we had approximate</w:t>
      </w:r>
      <w:r>
        <w:rPr>
          <w:rFonts w:ascii="Times New Roman;sans-serif" w:hAnsi="Times New Roman;sans-serif"/>
          <w:b w:val="false"/>
          <w:color w:val="000000"/>
          <w:sz w:val="20"/>
          <w:shd w:fill="FFFFFF" w:val="clear"/>
        </w:rPr>
        <w:t>ly 2,300 c</w:t>
      </w:r>
      <w:r>
        <w:rPr>
          <w:rFonts w:ascii="Times New Roman;sans-serif" w:hAnsi="Times New Roman;sans-serif"/>
          <w:b w:val="false"/>
          <w:color w:val="000000"/>
          <w:sz w:val="20"/>
        </w:rPr>
        <w:t>orporate employees. During 2023, we employed an average of 10,831 full-time equivalent field employees in Nurse and Allied Staffing, which does not include our Physician Staffing independent contractors.</w:t>
      </w:r>
    </w:p>
    <w:p>
      <w:pPr>
        <w:pStyle w:val="TextBody"/>
        <w:bidi w:val="0"/>
        <w:spacing w:before="0" w:after="6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objective is to provide a clean, safe, and healthy workplace for our employees and to help preserve the environment of the communities we serve by monitoring and mitigating any undesired effect of our business activities on the environment. We’ve embraced an ongoing effort aimed at reducing our use of finite resources, including our paper shredding and recycling programs.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goal is to provide work conditions that enable employees to thrive in an environment that is healthy and reduces hazards and health and safety issues, as well as raising awareness on health and safety risks related to our business activities. We believe this drives employee retention and performance, thus allowing us to retain a healthy productive team. </w:t>
      </w:r>
      <w:r>
        <w:rPr>
          <w:rFonts w:ascii="Times New Roman;sans-serif" w:hAnsi="Times New Roman;sans-serif"/>
          <w:b w:val="false"/>
          <w:color w:val="000000"/>
          <w:sz w:val="20"/>
          <w:shd w:fill="FFFFFF" w:val="clear"/>
        </w:rPr>
        <w:t>As part of our health and safety program, we partner with employees to help them maintain both their physical and mental welfare by providing education on health topics, facilitating complementary health screenings, and offering resources that include a confidential support line. Our culture is infused with a growth mindset that encourages employee internal progression and retention through an array of learning and coaching resources.</w:t>
      </w:r>
      <w:r>
        <w:rPr>
          <w:color w:val="000000"/>
        </w:rPr>
        <w:t xml:space="preserve"> </w:t>
      </w:r>
      <w:r>
        <w:rPr>
          <w:rFonts w:ascii="Times New Roman;sans-serif" w:hAnsi="Times New Roman;sans-serif"/>
          <w:b w:val="false"/>
          <w:color w:val="000000"/>
          <w:sz w:val="20"/>
          <w:shd w:fill="FFFFFF" w:val="clear"/>
        </w:rPr>
        <w:t>Employees are held to the ethics standards set forth in our Code of Ethics policy, which also applies to vendors and suppliers. We aim to foster a sound, respectful, fair, and inclusive workplace and condemn all forms of unlawful and inappropriate conduct, such as violence, discrimination, intimidation, harassment, and any behavior that creates a hostile or coercive work environment. In 2023, Cross Country Healthcare was awarded Newsweek Magazine</w:t>
      </w:r>
      <w:r>
        <w:rPr>
          <w:color w:val="000000"/>
        </w:rPr>
        <w:t>’</w:t>
      </w:r>
      <w:r>
        <w:rPr>
          <w:rFonts w:ascii="Times New Roman;sans-serif" w:hAnsi="Times New Roman;sans-serif"/>
          <w:b w:val="false"/>
          <w:color w:val="000000"/>
          <w:sz w:val="20"/>
          <w:shd w:fill="FFFFFF" w:val="clear"/>
        </w:rPr>
        <w:t>s Most Loved Workplace</w:t>
      </w:r>
      <w:r>
        <w:rPr>
          <w:rFonts w:ascii="Times New Roman;sans-serif" w:hAnsi="Times New Roman;sans-serif"/>
          <w:b w:val="false"/>
          <w:color w:val="000000"/>
          <w:sz w:val="13"/>
        </w:rPr>
        <w:t>®</w:t>
      </w:r>
      <w:r>
        <w:rPr>
          <w:color w:val="000000"/>
          <w:shd w:fill="FFFFFF" w:val="clear"/>
        </w:rPr>
        <w:t xml:space="preserve"> </w:t>
      </w:r>
      <w:r>
        <w:rPr>
          <w:rFonts w:ascii="Times New Roman;sans-serif" w:hAnsi="Times New Roman;sans-serif"/>
          <w:b w:val="false"/>
          <w:color w:val="000000"/>
          <w:sz w:val="20"/>
          <w:shd w:fill="FFFFFF" w:val="clear"/>
        </w:rPr>
        <w:t>certification and in 2022 was recognized with a Best Companies for Happiness Award</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from Comparably.</w:t>
      </w:r>
    </w:p>
    <w:p>
      <w:pPr>
        <w:pStyle w:val="TextBody"/>
        <w:bidi w:val="0"/>
        <w:spacing w:before="0" w:after="0"/>
        <w:jc w:val="left"/>
        <w:rPr/>
      </w:pPr>
      <w:r>
        <w:rPr/>
      </w:r>
    </w:p>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be successful in our marketplace directly depends on attracting and retaining talented and skilled employees, and keeping those individuals fully engaged in our business. Through our adoption of a Human Rights and Labor Rights Policy guided by the International Labour Organization Declaration on Fundamental Principles, our goal is to help increase the enjoyment of human rights within the communities in which we operate. This policy sets forth our intolerance of discrimination and harassment, our employees’ freedom of association, and the importance we place on the safety and health of our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color w:val="000000"/>
          <w:sz w:val="20"/>
        </w:rPr>
        <w:t xml:space="preserve">Diversity, Equality, and Inclusion. </w:t>
      </w:r>
      <w:r>
        <w:rPr>
          <w:rFonts w:ascii="Times New Roman;sans-serif" w:hAnsi="Times New Roman;sans-serif"/>
          <w:b w:val="false"/>
          <w:color w:val="000000"/>
          <w:sz w:val="20"/>
        </w:rPr>
        <w:t xml:space="preserve">We are committed to maintaining a workplace that respects everyone’s race, gender, sexual orientation, and physical abilities, as well as diversity of thought. We believe varying perspectives and backgrounds are the only means of solving complex and challenging business and social issues. As of December 31, 2023, our corporate workforce </w:t>
      </w:r>
      <w:r>
        <w:rPr>
          <w:rFonts w:ascii="Times New Roman;sans-serif" w:hAnsi="Times New Roman;sans-serif"/>
          <w:b w:val="false"/>
          <w:color w:val="000000"/>
          <w:sz w:val="20"/>
          <w:shd w:fill="FFFFFF" w:val="clear"/>
        </w:rPr>
        <w:t>self-identified as 77% women and 23% men, and 58% white and 42% non-white. In 2023, our executive and clinical leadership teams were comprised of 33% self-identified women.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Compensation</w:t>
      </w:r>
      <w:r>
        <w:rPr>
          <w:color w:val="000000"/>
        </w:rPr>
        <w:t xml:space="preserve"> </w:t>
      </w:r>
      <w:r>
        <w:rPr>
          <w:rFonts w:ascii="Times New Roman;sans-serif" w:hAnsi="Times New Roman;sans-serif"/>
          <w:b/>
          <w:color w:val="000000"/>
          <w:sz w:val="20"/>
        </w:rPr>
        <w:t>and Benefits.</w:t>
      </w:r>
      <w:r>
        <w:rPr>
          <w:color w:val="000000"/>
        </w:rPr>
        <w:t xml:space="preserve"> </w:t>
      </w:r>
      <w:r>
        <w:rPr>
          <w:rFonts w:ascii="Times New Roman;sans-serif" w:hAnsi="Times New Roman;sans-serif"/>
          <w:b w:val="false"/>
          <w:color w:val="000000"/>
          <w:sz w:val="20"/>
          <w:shd w:fill="FFFFFF" w:val="clear"/>
        </w:rPr>
        <w:t>We are committed to rewarding, supporting, and developing the associates who make it possible to deliver on our strategy. To that end, we offer a comprehensive total rewards program aimed at the varying health, home-life, and financial needs of our diverse corporate associates. Our total corporate rewards package includes market-competitive pay, healthcare benefits, retirement savings plans, paid time off and family leave, various discount programs, and tuition assistance.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Health and Wellness. </w:t>
      </w:r>
      <w:r>
        <w:rPr>
          <w:rFonts w:ascii="Times New Roman;sans-serif" w:hAnsi="Times New Roman;sans-serif"/>
          <w:b w:val="false"/>
          <w:color w:val="000000"/>
          <w:sz w:val="20"/>
        </w:rPr>
        <w:t>We are committed to the physical and mental health and well-being of our employees. Among other things, we are primarily a remote workforce. We also provide free biometric healthcare screenings, a 24/7 hotline for healthcare workers who are experiencing emotional stress, and incentives to employees who achieve specific fitness goals through our “Burnalong” wellness challenge. Our wellness activity calendar features weekly and monthly events and educational sessions to help employees reach and maintain their health and wellness goals. Monthly well-being newsletters focus on physical, mental, and financial wellness topics of interest. We also mark one or more health observances every month, such as heart health, high blood pressure awareness, men’s health, children’s dental health, and more, which provide additional resources for employees to educate themselves and their families. We believe the health and well-being of our employees has a direct impact on the quality of the services they deliver, and we continue to support them through providing the Compassion Fund for corporate employees suffering financial hardships, offering a paid volunteer day off for corporate employees to serve our communities, providing a psychologist and group therapy as needed, and providing a SaaS-based platform to all of our employees, and up to four family members, for free so they can stay connected through a universe of classes (e.g., yoga, language, psychology, and many others).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Talent Development. </w:t>
      </w:r>
      <w:r>
        <w:rPr>
          <w:rFonts w:ascii="Times New Roman;sans-serif" w:hAnsi="Times New Roman;sans-serif"/>
          <w:b w:val="false"/>
          <w:color w:val="000000"/>
          <w:sz w:val="20"/>
        </w:rPr>
        <w:t>Our mission regarding talent management and development is to support organizational results and success by employing strategies to attract, engage, develop, and retain employees, and to partner with our leaders to nurture and grow leadership talent. These investments include providing clear insight into employee performance, creating career paths, promoting from within whenever possible, maintaining open communication, and offering professional development opportunities. We employ Dayforce, a human resources system which features a fully interactive learning management module, where employees can access professional development resources, such as skills training courses. We offer Career Pathing, a system that allows employees to create a path to help guide their career development and growth within the Company. We partner with Strayer University, Excelsior University, and Capella University to provide our employees with access to flexible degree programs at a discounted cost. In 2023, we launched an enterprise mentorship program and a new career pathing program called Cross Country University. Through our annual Innovation Challenge, employees voice original ideas to improve our operations with the chance to win a monetary award. We have also embraced the Nursing Now pledge by reinforcing investment in the workforce, continuing to promote nurses to management roles, and providing guidance and support on best nursing practices through our dedicated clinical team. Nursing Now is a global campaign aimed at improving health by raising the status and profile of nursing.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Community and Social Impact. </w:t>
      </w:r>
      <w:r>
        <w:rPr>
          <w:rFonts w:ascii="Times New Roman;sans-serif" w:hAnsi="Times New Roman;sans-serif"/>
          <w:b w:val="false"/>
          <w:color w:val="000000"/>
          <w:sz w:val="20"/>
        </w:rPr>
        <w:t>We participate in numerous events with a variety of non-profit organizations. Our mission to deliver quality patient care extends to our community and we are committed to action that fosters positive impact in our community and around the U.S. Our human resources department develops and implements programs to help our employees realize their potential through volunteering and supporting our communities. Employees are able to take paid time off to perform volunteer activities, and are able to donate to certain charities directly from their pay, either as a one-time or ongoing donation.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Additional Information</w:t>
      </w:r>
    </w:p>
    <w:p>
      <w:pPr>
        <w:pStyle w:val="TextBody"/>
        <w:bidi w:val="0"/>
        <w:spacing w:lineRule="auto" w:line="288" w:before="0" w:after="0"/>
        <w:jc w:val="left"/>
        <w:rPr/>
      </w:pPr>
      <w:r>
        <w:rPr>
          <w:rFonts w:ascii="Times New Roman;sans-serif" w:hAnsi="Times New Roman;sans-serif"/>
          <w:b w:val="false"/>
          <w:color w:val="000000"/>
          <w:sz w:val="20"/>
        </w:rPr>
        <w:t xml:space="preserve">Financial reports and filings with the SEC, including this Annual Report on Form 10-K, are available free of charge as soon as reasonably practicable after filing such material with, or furnishing it to, the SEC, on or through our corporate website at www.crosscountry.com. References to websites contained in this Annual Report on Form 10-K are intended to be inactive textual references only. The information found on our website is not part of this Annual Report on Form 10-K or any other report we file with or furnish to the SEC. The SEC also maintains a website at </w:t>
      </w:r>
      <w:r>
        <w:rPr>
          <w:rFonts w:ascii="Times New Roman;sans-serif" w:hAnsi="Times New Roman;sans-serif"/>
          <w:b w:val="false"/>
          <w:color w:val="0563C1"/>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Economic, and Industry Risks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and financial results may be affected by pandemics, epidemics, or other public health crises.</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a pandemic, epidemic, or other public health crisis, certain of our healthcare professionals may be exposed to disease, diagnosed with an illness and/or quarantined as a result of illness. Healthcare workers can become burned out from the emotional and physical stress of a prolonged pandemic, as occurred during the COVID-19 pandemic, which may result in shortage of supply if core staff members leave their jobs. If, as a result of such risks, our healthcare professionals do not want to, or are not able to provide services, it could negatively impact our supply and ability to provide staffing services to our customers. In addition, census at healthcare facilities continues to vary for many reasons. All of these effects can result in reduced demand for our services or the cancellation of our healthcare professionals working at those facilities or under contract to provide services at those facilities in the future. These effects may also create specific demand in certain specialties and in specific regions of the country.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financial impact to our healthcare customers from any pandemic, epidemic, outbreak of an infectious disease or other public health crisis may also impact their ability to pay for our services timely or altogether, including invoices for services provided prior to such an event that were in process. Such a failure to pay for our services timely or altogether would have an impact on our collections, resulting in a negative financial impact on our Company.</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Global economic conditions and the effect of economic pressures could lead to decreases in demand or pricing for our services, which would adversely affect the profitability of our business.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Uncertainties in global economic conditions that are beyond our control, such as the impact of the COVID-19 pandemic, have in the past impacted our business and may in the future materially adversely affect our business, results of operations, financial condition, and stock price. These adverse economic conditions include economic downturns, inflation, recession, slow recovery or growth, new or increased tariffs and other taxes, changes to fiscal and monetary policy, higher interest rates, high unemployment, decreased consumer confidence in the economy, armed hostilities, such as the ongoing military conflict between Russia and Ukraine and the war between Israel and Hamas, foreign currency exchange rate fluctuations, conditions affecting the market for temporary staffing services, and other unexpected events, including public health crises.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decrease or stagnation in the general level of in-patient admissions or out-patient services at our customers’ facilities, could lead to decreases in demand or pricing for our services. When a hospital’s admissions increase, temporary employees or other healthcare professionals are often added before full-time employees are hired. As admissions decrease, customers typically reduce their use of temporary employees or other healthcare professionals before undertaking layoffs of their permanent employees. In periods of economic downturn or high inflation, permanent healthcare staff generally work more hours, resulting in fewer vacancies and less demand for our services. Decreases in demand or pricing for our services may also affect our ability to provide attractive assignments to our healthcare professionals. Any substantial economic downturn, including significant inflationary pressures, could have a material adverse effect on our business, financial condition, or operating results.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may face challenges competing in the marketplace if we are unable to anticipate and quickly respond to changing marketplace conditions, such as alternative modes of healthcare delivery, reimbursement, and customer needs.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Patient delivery settings continue to evolve, including potential changes related to artificial intelligence, giving rise to alternative modes of healthcare delivery, such as retail medicine, telemedicine, and home health. Our success is dependent upon our ability to develop innovative workforce solutions and quickly adapt to changing marketplace conditions and client needs, including making modifications to our technologies and evolving our technology platform, which may differentiate our services and abilities from those of our competitors. The markets in which we compete are highly competitive and our competitors may respond more quickly to new or emerging customer needs and marketplace conditions. Uncertainty regarding or changes to federal healthcare law and the willingness of our hospital, healthcare facilities and physician group customers to develop their own temporary staffing pools, replace core staff who have resigned or retired, or to increase the productivity of their permanent staff may, individually or in the aggregate, significantly affect demand for our temporary healthcare staffing services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hamper our ability to attract, develop, and retain customers. In addition, if hospitals continue to consolidate in an effort to enhance their market positions, improve operational efficiency, hire permanent replacements to replace core staff, and create organizations capable of managing population health, demand for our services could decrease. The staffing industry has experienced a marked decline in revenue in the post-COVID era in light of shifting customer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new service lines and business models using advanced technology solutions requires us to be at the forefront of emerging trends in the healthcare industry. We may face challenges competing in the marketplace if we are unable to quickly adapt our business model and successfully implement innovative services and solutions to address these changes.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rPr>
        <w:t>Market disruptions or downturns may adversely affect our, or our customer’s, operating results and financial condition</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Economic conditions and volatility in the financial markets may have an adverse impact on the availability of credit to us and to our customers and businesses generally. Conditions in the credit markets and the economy generally could adversely impact our business and limit or prohibit us from refinancing our credit agreements on terms favorable to us or at all when they become due. To the extent that disruption in the financial markets occurs, it has the potential to materially affect our and our customers’ ability to tap into debt and/or equity markets to continue ongoing operations, have access to cash, and/or pay debts as they come due. Although we monitor our credit risks to specific customers that we believe may present credit concerns, default risk or lack of access to liquidity may result from events or circumstances that are difficult to detect or foresee.</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subject to business and regulatory risks associated with international operations.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and (v) regulations (pertaining to, among other things, compensation and benefits, vacation, and the termination of employment). Our inability to effectively manage our international operations or our violation of any regulation could result in increased costs and adversely affect our results of operations.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financial results could be adversely impacted by the loss of key management or corporate employee turnover.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successful execution of our business strategy and our ability to build upon significant recent investments and acquisitions depends on the continued employment of key members of our management team and corporate employees.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customers may terminate or not renew their contracts with us.</w:t>
      </w:r>
    </w:p>
    <w:p>
      <w:pPr>
        <w:pStyle w:val="TextBody"/>
        <w:bidi w:val="0"/>
        <w:spacing w:lineRule="auto" w:line="288" w:before="0" w:after="0"/>
        <w:jc w:val="left"/>
        <w:rPr/>
      </w:pPr>
      <w:r>
        <w:rPr>
          <w:rFonts w:ascii="Times New Roman;sans-serif" w:hAnsi="Times New Roman;sans-serif"/>
          <w:b w:val="false"/>
          <w:color w:val="000000"/>
          <w:sz w:val="20"/>
        </w:rPr>
        <w:t>Our arrangements with hospitals, healthcare facilities, and physician group customers are generally terminable by the customer upon 30 to 90 days’ notice. During the COVID-19 pandemic, we believe many hospitals and healthcare systems did not issue request for proposal (RFP)s for temporary staffing agency services because they did not have the time or resources to conduct such a process.</w:t>
      </w:r>
      <w:r>
        <w:rPr>
          <w:color w:val="000000"/>
        </w:rPr>
        <w:t xml:space="preserve"> </w:t>
      </w:r>
      <w:r>
        <w:rPr>
          <w:rFonts w:ascii="Times New Roman;sans-serif" w:hAnsi="Times New Roman;sans-serif"/>
          <w:b w:val="false"/>
          <w:color w:val="000000"/>
          <w:sz w:val="20"/>
        </w:rPr>
        <w:t>More recently, hospitals and healthcare systems are focused on cost-saving measures and the number of RFPs appears to have increased.</w:t>
      </w:r>
      <w:r>
        <w:rPr>
          <w:color w:val="000000"/>
        </w:rPr>
        <w:t xml:space="preserve"> </w:t>
      </w:r>
      <w:r>
        <w:rPr>
          <w:rFonts w:ascii="Times New Roman;sans-serif" w:hAnsi="Times New Roman;sans-serif"/>
          <w:b w:val="false"/>
          <w:color w:val="000000"/>
          <w:sz w:val="20"/>
        </w:rPr>
        <w:t>As a result, we may lose customers if our customers issue RFPs for temporary staffing agency services and choose to contract with one of our competitors instead of us. We may have fixed costs, such as housing costs, associated with terminated arrangements that we will be obligated to pay post-termination, thus negatively impacting our profitability. In addition, the loss of one or more of our large customers could materially and adversely affect our profitability.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our healthcare facility customers increase the use of intermediary organizations, it could impact our profitability and our ability to secure contracts with customers.</w:t>
      </w:r>
    </w:p>
    <w:p>
      <w:pPr>
        <w:pStyle w:val="TextBody"/>
        <w:bidi w:val="0"/>
        <w:spacing w:lineRule="auto" w:line="288" w:before="0" w:after="160"/>
        <w:jc w:val="left"/>
        <w:rPr/>
      </w:pPr>
      <w:r>
        <w:rPr>
          <w:rFonts w:ascii="Times New Roman;sans-serif" w:hAnsi="Times New Roman;sans-serif"/>
          <w:b w:val="false"/>
          <w:color w:val="000000"/>
          <w:sz w:val="20"/>
        </w:rPr>
        <w:t xml:space="preserve">We continue to see our customers use intermediary organizations and an increase in the use of side-by-side managed service providers. Intermediaries typically enter into contracts with hospitals or health systems and then subcontract with us and other agencies to provide staffing services, thus interfering to some extent in our relationship with our customers. Each of these intermediaries charges an administrative fee. In instances where we do not win new MSP opportunities or where other vendors win this MSP, a side-by-side MSP opportunity, or vendor management system </w:t>
      </w:r>
      <w:r>
        <w:rPr>
          <w:rFonts w:ascii="Times New Roman;sans-serif" w:hAnsi="Times New Roman;sans-serif"/>
          <w:b w:val="false"/>
          <w:color w:val="000000"/>
          <w:sz w:val="20"/>
          <w:shd w:fill="FFFFFF" w:val="clear"/>
        </w:rPr>
        <w:t>(VMS)</w:t>
      </w:r>
      <w:r>
        <w:rPr>
          <w:color w:val="000000"/>
        </w:rPr>
        <w:t xml:space="preserve"> </w:t>
      </w:r>
      <w:r>
        <w:rPr>
          <w:rFonts w:ascii="Times New Roman;sans-serif" w:hAnsi="Times New Roman;sans-serif"/>
          <w:b w:val="false"/>
          <w:color w:val="000000"/>
          <w:sz w:val="20"/>
        </w:rPr>
        <w:t xml:space="preserve">business with our current customers, the number of professionals we have on assignment at those customers and/or our spend under management could decrease. If we are unable to negotiate hourly rates with intermediaries for the services we provide to these customers which are sufficient to cover administrative fees charged by those intermediaries, it could impact our profitability. If hospitals fail to pay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intermediaries for our services or those intermediaries become insolvent or fail to pay us for our services, it could impact our bad debt expense and thus our overall profitability. We also provide comprehensive MSP and other workforce solutions directly to certain of our customers. While such contracts typically improve our market share at these facilities, they could result in less diversification of our customer base, increased liability, and reduced margins.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costs of providing services may rise faster than we are able to adjust our bill rates and pay rates and, as a result, our margins could decline and our profitability could be adversely impacted.</w:t>
      </w:r>
    </w:p>
    <w:p>
      <w:pPr>
        <w:pStyle w:val="TextBody"/>
        <w:bidi w:val="0"/>
        <w:spacing w:lineRule="auto" w:line="288" w:before="0" w:after="160"/>
        <w:jc w:val="left"/>
        <w:rPr/>
      </w:pPr>
      <w:r>
        <w:rPr>
          <w:rFonts w:ascii="Times New Roman;sans-serif" w:hAnsi="Times New Roman;sans-serif"/>
          <w:b w:val="false"/>
          <w:color w:val="000000"/>
          <w:sz w:val="20"/>
        </w:rPr>
        <w:t>Costs of providing our services could change more quickly than we are able to renegotiate bill rates in our active contracts and pay rates with our</w:t>
      </w:r>
      <w:r>
        <w:rPr>
          <w:color w:val="000000"/>
          <w:shd w:fill="FFFFFF" w:val="clear"/>
        </w:rPr>
        <w:t xml:space="preserve"> </w:t>
      </w:r>
      <w:r>
        <w:rPr>
          <w:rFonts w:ascii="Times New Roman;sans-serif" w:hAnsi="Times New Roman;sans-serif"/>
          <w:b w:val="false"/>
          <w:color w:val="000000"/>
          <w:sz w:val="20"/>
          <w:shd w:fill="FFFFFF" w:val="clear"/>
        </w:rPr>
        <w:t xml:space="preserve">thousands </w:t>
      </w:r>
      <w:r>
        <w:rPr>
          <w:rFonts w:ascii="Times New Roman;sans-serif" w:hAnsi="Times New Roman;sans-serif"/>
          <w:b w:val="false"/>
          <w:color w:val="000000"/>
          <w:sz w:val="20"/>
        </w:rPr>
        <w:t>of healthcare professionals. For example, we offer housing subsidies to some of our healthcare professionals or directly provide housing to other healthcare professionals.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customers or renegotiate pay rates with our healthcare providers.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Operational Risks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dependent on the proper functioning of our information systems and applications hosted by our vendors, and our inability to implement new technology systems and infrastructure could cause disruptions to our ability to operate effectively.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the proper functioning of information systems used to operate our business, including those applications hosted by our vendors. Critical information systems used in daily operations identify and match staffing resources and customer assignments and perform billing and accounts receivable functions. Additionally, we rely on our information systems in managing our accounting and financial reporting. These systems are subject to certain risks, including technological obsolescence. We continue to evaluate the technology platforms of our businesses, and have successfully replaced the legacy nurse and allied applicant tracking system, which accounts for a significant portion of our business. If our proprietary systems of SaaS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information systems are protected through a secure hosting facility and additional backup remote processing capabilities also exist in the event our primary systems fail or are not accessible. However, our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among other things, maintain billing and clinical records reliably, bill for services efficiently, and maintain our accounting and financial reporting accurately.</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Company and third-party computer, technology and communications hardware and software systems are vulnerable to damage, unauthorized access, and disruption that could expose the Company to material operational, financial, and reputational damage (including the unauthorized access to, or exposure of, personal and confidential information).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manage its operations in both the U.S. and India through the use of key systems successfully is critical to its success and largely depends upon the efficient and uninterrupted operation of its computer, technology and communications systems, some of which are managed by third-party vendors. The Company’s primary systems (and, as a result, its operations) are vulnerable to damage or interruption from power outages, computer, technology and telecommunications failures, computer viruses, security breaches, catastrophic events, and errors in usage by the Company’s or its vendors’ employees and contractors. In addition, the Company’s systems contain personal and confidential information, including information of importance to the Company, and its employees, vendors, contractors, and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including attacks motivated by the desire for monetary gain, geopolitics, grievances against the business services industry in general or against the Company in particular, may disable or damage its systems or the systems of its vendors or customers, or allow unauthorized access to, or exposure of, personal or confidential information, including information about employees, vendors, candidates, contractors and customers. The Company’s security tools, controls and practices, including those relating to identity and access management, credential strength, and the security tools, controls and practices of its vendors and customers, may not prevent access, damage or disruption to Company or third-party systems or the unauthorized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access to, or exposure of, personal or confidential information. There are many approaches through which such systems could be damaged or disrupted, or information exposed or accessed, including through system vulnerabilities, improperly obtaining and using user credentials, or the misuse of authorized user access.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Company transitioned its employee population to a remote work environment in an effort to mitigate the spread of COVID-19. This transition to remote working has also increased the Company’s exposure to risks related to the Company’s computer and communications hardware and software systems and exacerbated certain related risks, including risks of phishing and other cybersecurity attacks.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damage or disruption to Company or third-party systems, or unauthorized access to, or exposure of, personal or confidential information, could harm the Company’s operations, reputation and brand, resulting in a loss of business or revenue. It could also subject the Company to government sanctions, litigation from candidates, contractors, customers, and employees, and legal liability under its contracts, resulting in increased costs or loss of revenue. The Company may also incur additional expenses, such as the cost of remediating incidents or improving security measures, the cost of identifying and retaining replacement vendors, increased costs of insurance, or ransomware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threats continue to increase in frequency and sophistication, thereby increasing the difficulty of detecting and defending against them. Furthermore, the potential risk of security breaches and cyberattacks may increase as the Company introduces new service offerings. Any future events impacting the Company or its third-party vendors that damages or interrupts the Company's or its third-party vendors’ systems or exposes data or other confidential information could have a material adverse effect on our operations, reputation, and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Changes in data privacy and protection laws and regulations in respect of control of personal information (and the failure to comply with such laws and regulations) could increase the Company’s costs or otherwise adversely impact its operations, financial results, and reputation.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collects, uses, and retains personal information from its customers, employees, employment candidates, and contractors, including, without limitation, full names, government-issued identification numbers, addresses, birthdates, and payroll-related information. The possession and use of personal information in conducting the Company’s business subjects it to a variety of complex and evolving laws and regulations regarding data privacy, which, in many cases, apply not only to third-party transfers, but also to transfers of information among the Company and its subsidiaries.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there has been a number of recently enacted state-level privacy regulations that assign specific rights to consumers, employees, and other data subjects, and imposes specific operational requirements for businesses that collect, process, and store personal information. Complying with these enhanced obligations, state-level privacy regulations (such as the California Consumer Privacy Act (CCPA) and the California Privacy Rights Act (CPRA)) and other current and future laws and regulations relating to data transfer, residency, privacy and protection has increased, and continue to increase the Company’s operating costs and require significant management time and attention. Simultaneously, any failure by the Company or its subsidiaries to comply with applicable laws could result in governmental enforcement actions, consumer actions, fines, and other penalties that could potentially have an adverse effect on the Company’s operations, financial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Social, ethical, and security issues relating to the use of artificial intelligence (AI) may result in reputational harm and liability</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business operations and support activities are performed by a predominantly remote workforce. Should any of these employees utilize non-approved AI, this could result in reputational harm to the Company and have an adverse effect on its operations. In addition, we may incorporate traditional and generative AI solutions into our information systems and products which may become important in our operations over time. The ever-increasing use and evolution of technology, including AI, creates opportunities for the potential loss or misuse of personal data that we collected or used to run our business. There is also a risk that we may not have access to the technology and qualified AI personnel resources to adequately incorporate advancements into our AI initiatives. The rapid evolution of AI, including potential government regulations, will require significant resources to develop, test and maintain our platforms to help us implement AI responsibly. This may result in significantly increased business and security costs, administrative penalties, or costs related to defending legal claims.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160"/>
        <w:jc w:val="left"/>
        <w:rPr>
          <w:rFonts w:ascii="Times New Roman;sans-serif" w:hAnsi="Times New Roman;sans-serif"/>
          <w:b/>
          <w:i/>
          <w:color w:val="000000"/>
          <w:sz w:val="20"/>
        </w:rPr>
      </w:pPr>
      <w:r>
        <w:rPr>
          <w:rFonts w:ascii="Times New Roman;sans-serif" w:hAnsi="Times New Roman;sans-serif"/>
          <w:b/>
          <w:i/>
          <w:color w:val="000000"/>
          <w:sz w:val="20"/>
        </w:rPr>
        <w:t>We may be unable to recruit and retain enough quality healthcare professionals to meet our customers’ demands.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rely significantly on our ability to attract, develop, and retain healthcare professionals who possess the skills, experience and, as required, licensure necessary to meet the specified requirements of our healthcare customers. We compete for healthcare staffing personnel with other temporary healthcare staffing companies, as well as actual and potential customers such as healthcare facilities and physician groups, some of which seek to fill positions with either permanent or temporary employees. We rely on word-of-mouth referrals, as well as social and digital media, to attract qualified healthcare professionals. If our social and digital media strategy is not successful, our ability to attract qualified healthcare professionals could be negatively impacted.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with a shortage of certain qualified healthcare professionals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our customers and our margins could decline. At this time, we still do not have enough nurses, allied professionals, and physicians to meet all of our customers’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labor costs could be adversely affected by a shortage of experienced healthcare professionals and labor union activity.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on our ability to recruit and staff quality healthcare professionals. We compete with other staffing companies and technologies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dependent on third parties for the execution of certain critical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outsourced certain critical applications or business processes to external providers, including, but not limited to, background screenings of our employees. We exercise care in the selection and oversight of these providers. However, the failure or inability of one or more of these critical suppliers to perform could cause significant disruptions and increased costs to our business. In addition, we rely on third-party timekeeping systems in certain circumstances to process payroll. To the extent that these payroll systems experience a disruption or delay in reporting time worked by our healthcare professionals, we may not be able to make payroll to our healthcare workers timely. This could result in significant dissatisfaction by our healthcare workers and damage to our reputation, in addition to violations of certain laws or regulations. We have a risk mitigation plan in place in the event this were to occur, but the inability to effectively implement this plan, or its failure, could cause an adverse impact to our business and our financials.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As the use of social media platforms expands, new risks and challenges may cause damage to our brand and reputation.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our industry, the use of social media platforms has increased due to the ability to access to a broad audience through social media websites and other internet communication. Any inappropriate or unauthorized use of certain social media vehicles by our employees, contractors, customers, or vendors could cause damage to our brand, or result in information leakage that could have legal implications, including the dissemination of personally identifiable information of customers or employees. In addition, inaccurate posts or comments on social media websites could damage our reputation or brand image.</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protect our reputation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industry reputation is critical to our success. We also believe that maintaining and enhancing our reputation directly relates to our ability to hire and retain healthcare professionals. Any negative claims or publicity about us, including through social media, may adversely impact our ability to recruit, hire, and retain qualified healthcare professionals, and may also adversely affect relationships with our customers. In this regard, failure to comply with ethical, social, product, labor, health and safety, accounting, or environmental standards could jeopardize our reputation and potentially lead to various adverse effects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our reputation may also depend on the success of our corporate social responsibility (“CSR”) and sustainability initiatives, which require company-wide coordination and alignment. Risks associated with these initiatives include any increased public focus, including by governmental and nongovernmental organizations, new laws and regulations, increased costs associated with sustainability efforts and/or compliance with laws and regulations, as well as increased pressure to expand our CSR and sustainability disclosures in these areas, make commitments, set targets or establish additional goals, and take actions to meet such targets and goals. In addition, organizations that provide information to investors on corporate governance and related matters have developed ratings processes for evaluating companies on their approach to CSR or ESG matters. Such ratings are used by some investors to inform their investment and voting decisions. Unfavorable CSR or ESG ratings may lead to increased negative investor sentiment toward us, which could have a negative impact on the price of our securities and our access to and costs of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foregoing could expose us to market, operational, and execution costs or risks. Any CSR or sustainability metrics that we currently or may in the future disclose, whether based on the standards we set for ourselves or those set by others, may influence our reputation and the value of our brands. There is also increased focus, including by investors, customers, and other stakeholders, on CSR and other sustainability matters, including the use of energy and waste. Our reputation could be damaged if we do not, or are perceived to not, act responsibly with respect to sustainability matters, which could also have a material adverse effect on our business, results of operations, financial position, and cash flows.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Legal, Tax, and Regulatory Risks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financial health of our customers, which could have a negative impact on our business. In addition, application and interpretation of laws sometimes change and those changes may spark regulatory inquiries or investigations as a result, for which we may not be insured and which could adversely affect our business and financial condition. Insurance companies and managed care organizations also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customers’ reimbursement. Such limitations on reimbursement could reduce our customers’ cash flows, hampering the prices we can charge customers, and reducing their ability to pay us. Reimbursement changes in government programs, particularly Medicare and Medicaid, can and do indirectly affect the demand and the prices paid for our services. The impact of any legislation to repeal, amend, or replace the Affordable Care Act could also adversely affect our business and financial condition.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many complex federal, state, local, and international laws and regulations related to, among other things, the licensure of professionals, medical malpractice claims and related indemnity claims, the payment of our field employees (e.g., wage and hour laws, employment taxes, arbitration agreements, and income tax withholdings), expense reimbursements, wage transparency, and the operations of our business generally (e.g., federal, state, and local tax laws). If we do not comply with the laws and regulations that are applicable to our business, we could incur civil and/or criminal penalties or become subject to litigation or equitable remedies. We maintain insurance coverage for employment claims; however, it may not cover all claims against us or continue to be available to us at a reasonable cost. If our insurance does not cover the particular claim or if we are unable to pay our self-insured retention portion, pay any uninsured portion, or maintain adequate insurance coverage, we may be exposed to substantial liabilities that would materially impact our business and financial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subject to various litigation, claims, investigations, and other proceedings which could result in substantial judgments, settlement costs, or uninsured liabilities.</w:t>
      </w:r>
    </w:p>
    <w:p>
      <w:pPr>
        <w:pStyle w:val="TextBody"/>
        <w:bidi w:val="0"/>
        <w:spacing w:lineRule="auto" w:line="288" w:before="0" w:after="0"/>
        <w:jc w:val="left"/>
        <w:rPr/>
      </w:pPr>
      <w:r>
        <w:rPr>
          <w:rFonts w:ascii="Times New Roman;sans-serif" w:hAnsi="Times New Roman;sans-serif"/>
          <w:b w:val="false"/>
          <w:color w:val="000000"/>
          <w:sz w:val="20"/>
        </w:rPr>
        <w:t>We are party to various litigation, claims, investigations, and other proceedings. These matters primarily relate to employee-related matters that include individual and collective claims, professional liability, tax, and payroll and/or related practices. We evaluate these litigation claims and legal proceedings to assess the likelihood of unfavorable outcomes and to estimate, if possible, the amount of potential losses. Additionally, as a result of the economy and changes to the law, increased collective bargaining actions, healthcare professionals no longer being able to secure the same level of income as they did during the COVID-19 pandemic, and other factors, the number of litigation claims have increased.</w:t>
      </w:r>
      <w:r>
        <w:rPr>
          <w:color w:val="000000"/>
        </w:rPr>
        <w:t xml:space="preserve"> </w:t>
      </w:r>
      <w:r>
        <w:rPr>
          <w:rFonts w:ascii="Times New Roman;sans-serif" w:hAnsi="Times New Roman;sans-serif"/>
          <w:b w:val="false"/>
          <w:color w:val="000000"/>
          <w:sz w:val="20"/>
        </w:rPr>
        <w:t>Based on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disclosures and our loss contingency accruals, which may increase as a result of increased litigation claims.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healthcare providers and the Company have become subject to an increasing number of legal actions alleging, among other things, malpractice, vicarious liability, violation of certain consumer protection acts, negligent hiring, negligent credentialing, discrimination, or related legal theories. We may be subject to liability in such cases even if our Company’s contribution to the alleged injury was minimal or related to one of our subcontractors or its employees. Many of these actions, including class actions, involve large claims and significant defense costs. In addition, we may be subject to claims related to torts or crimes committed by our corporate employees or healthcare professionals that we place on assignment. In most instances, we are required to indemnify customers against some or all of these risks, and the law may consider the Company and its customers to be joint employers, adding further complexities to litigation. A failure of any of our corporate employees or healthcare professionals to observe our policies and guidelines, relevant customer policies and guidelines, or applicable federal, state, or local laws, rules, and regulations could result in negative publicity, payment of fines, or other damages.</w:t>
      </w:r>
    </w:p>
    <w:p>
      <w:pPr>
        <w:pStyle w:val="TextBody"/>
        <w:bidi w:val="0"/>
        <w:spacing w:before="0" w:after="1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although we do not maintain insurance coverage for wage and hour claims. We are partially self-insured for our workers’ compensation coverage, health insurance coverage, and professional liability coverage for our healthcare providers. If we become subject to substantial uninsured workers’ compensation, wage and hour claims,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applicable government regulations change, we may face increased costs that reduce our revenue and profitability.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Several states have adopted wage transparency or equity laws that have complex reporting requirements.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customers. In addition, if government regulations were implemented that limited the amount we could charge for our services, our profitability could be adversely affected. We continuously monitor changes in regulations and legislation for potential impacts on our business.</w:t>
      </w:r>
    </w:p>
    <w:p>
      <w:pPr>
        <w:pStyle w:val="TextBody"/>
        <w:bidi w:val="0"/>
        <w:spacing w:lineRule="auto" w:line="288" w:before="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suffer adverse tax and other financial consequences if taxing authorities do not agree with our tax positions, if there are further legislative tax changes, or if we are unable to utilize our net operating losses (NOLs).</w:t>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periodically subject to a number of tax examinations by taxing authorities in the states and countries where we do business. We also have deferred tax assets related to our net operating losses (NOLs) in state taxing jurisdictions, which, generally, for state tax purposes, carry forward for up to twenty years or indefinitely, depending on the year the NOL was generated.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judgments in this area are reasonable and correct, but we may not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Lastly, we may be limited in our ability to utilize our remaining state NOLs to offset future taxable income and thereby reduce our otherwise payable income taxes. Our ability to utilize our NOLs is also dependent, in part, upon us having sufficient future earnings to utilize our state NOLs before they expire. If market conditions change materially and we determine that we will be unable to generate sufficient taxable income in the future to utilize our state NOLs, we could be required to record additional valuation allowances. We review the valuation allowances for our state NOLs periodically and make adjustments from time to time, which can result in an increase or decrease to the net deferred tax asset related to our state NOLs. If we are unable to use our state NOLs or use of our state NOLs is limited, we may have to make significant payments or reduce our deferred tax assets, which could have a material adverse effect on our business, results of operations, and financial condition.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certain of our healthcare professionals are reclassified from independent contractors to employees, our profitability could be materially adversely impacted.</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Other than in California and Illinois, where advanced practitioners are required to be classified as W-2 employees by law,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the method for paying locum tenens physicians changes, it could negatively impact our profitability.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Medicare Access and CHIP Reauthorization Act of 2015 created a certain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initiatives related to CSR and ESG matters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laws and regulations related to CSR or ESG matters, including potential disclosures with respect to greenhouse gas emissions, have been issued and new proposals may be adopted, which could require us to undertake costly initiatives or operational changes. Non-compliance with these emerging rules or standards, or a failure to address regulator, stakeholder, and societal expectations, may result in potential cost increases, litigation, fines, penalties, reputational damage, loss of customers and vendors, or failure to retain and attract talent. Managing compliance and implementing ESG goals and initiatives involves risks and uncertainties, including increased costs. Any failure, or perceived failure, to manage ESG risks, adhere to public statements, comply with federal, state, or international ESG laws and regulations, or meet evolving and varied stakeholder expectations could result in legal and regulatory proceedings against us and materially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could have a level of indebtedness which may have an adverse effect on our business or limit our ability to take advantage of business, strategic, or financing opportunities.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 borrowings under our Asset-Based Loan Agreement (ABL). A change in our level of indebtedness could have important negative consequences including: (i) increased demands on our cash resources to service the debt; (ii) our financial and operating flexibility may be restricted due to debt covenants to which we are subject, and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pStyle w:val="TextBody"/>
        <w:bidi w:val="0"/>
        <w:spacing w:before="0" w:after="0"/>
        <w:jc w:val="left"/>
        <w:rPr/>
      </w:pPr>
      <w:r>
        <w:rPr/>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more vulnerable to general adverse economic and industry conditions;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to pay higher interest rates upon refinancing or on our variable rate indebtedness if interest rates rise, thereby reducing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find it more difficult to obtain additional financing to fund future working capital, capital expenditures, acquisitions, and other general corporate requirements that would be in our long-term interests;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required to dedicate a substantial portion of our cash flow from operations to the payment of principal and interest on our debt, reducing the available cash flow to fund other investments;</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limited flexibility in planning for, or reacting to, changes in our business or in the industry;</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have a competitive disadvantage relative to other companies in our industry that are less leveraged;</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be required to sell debt or equity securities or sell some of our core assets, possibly on unfavorable terms, in order to meet payment obligations; and</w:t>
      </w:r>
    </w:p>
    <w:p>
      <w:pPr>
        <w:pStyle w:val="TextBody"/>
        <w:bidi w:val="0"/>
        <w:spacing w:lineRule="auto" w:line="288" w:before="0" w:after="1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we may not be able to successfully raise capital to execute our mergers and acquisitions strategy.</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These constraints could have a material adverse effect on our business.</w:t>
      </w:r>
    </w:p>
    <w:p>
      <w:pPr>
        <w:pStyle w:val="TextBody"/>
        <w:bidi w:val="0"/>
        <w:spacing w:lineRule="auto" w:line="288" w:before="180" w:after="160"/>
        <w:jc w:val="left"/>
        <w:rPr>
          <w:rFonts w:ascii="Times New Roman;sans-serif" w:hAnsi="Times New Roman;sans-serif"/>
          <w:b/>
          <w:i/>
          <w:color w:val="000000"/>
          <w:sz w:val="20"/>
        </w:rPr>
      </w:pPr>
      <w:r>
        <w:rPr>
          <w:rFonts w:ascii="Times New Roman;sans-serif" w:hAnsi="Times New Roman;sans-serif"/>
          <w:b/>
          <w:i/>
          <w:color w:val="000000"/>
          <w:sz w:val="20"/>
        </w:rPr>
        <w:t>We could fail to generate sufficient cash to fund our liquidity needs and/or fail to satisfy the financial and other covenants to which we are subject under our existing indebtedness, which could adversely affect long term growth and results of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sufficient liquidity to operate our business in the normal course. If, however, we were to close an acquisition or enter into a similar type of transaction, our liquidity needs may exceed our current capacity. Our credit facility currently contains an occurrence-based financial covenant that may be triggered if we fall below a certain level of excess availability, requiring us to operate above a minimum fixed charge coverage ratio. Additionally, our borrowing capacity is based on trade receivables and we could have a loss in availability due to market or other financial conditions affecting our customers and their ability to pay according to terms, resulting in ineligible receivables (to borrow against). Deterioration in our operating results could result in our inability to comply with this covenant and would result in a default under our credit facility. If an event of default exists, our lenders could call the indebtedness and we may be unable to renegotiate or secure other financing.</w:t>
      </w:r>
    </w:p>
    <w:p>
      <w:pPr>
        <w:pStyle w:val="TextBody"/>
        <w:bidi w:val="0"/>
        <w:spacing w:lineRule="auto" w:line="288" w:before="200" w:after="160"/>
        <w:jc w:val="left"/>
        <w:rPr>
          <w:rFonts w:ascii="Times New Roman;sans-serif" w:hAnsi="Times New Roman;sans-serif"/>
          <w:b/>
          <w:color w:val="000000"/>
          <w:sz w:val="20"/>
        </w:rPr>
      </w:pPr>
      <w:r>
        <w:rPr>
          <w:rFonts w:ascii="Times New Roman;sans-serif" w:hAnsi="Times New Roman;sans-serif"/>
          <w:b/>
          <w:color w:val="000000"/>
          <w:sz w:val="20"/>
        </w:rPr>
        <w:t>General Business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face difficulties integrating our acquisitions into our operations and our acquisitions may be unsuccessful, involve significant cash expenditures, or expose us to unforeseen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opportunities to acquire companies that would complement or enhance our business. These acquisition opportunities involve numerous risks, including potential loss of key employees or customers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Notwithstanding the due diligence investigation we perform in connection with acquisitions, the acquired business</w:t>
      </w:r>
      <w:r>
        <w:rPr>
          <w:color w:val="000000"/>
          <w:shd w:fill="FFFFFF" w:val="clear"/>
        </w:rPr>
        <w:t xml:space="preserve"> </w:t>
      </w:r>
      <w:r>
        <w:rPr>
          <w:rFonts w:ascii="Times New Roman;sans-serif" w:hAnsi="Times New Roman;sans-serif"/>
          <w:b/>
          <w:i/>
          <w:color w:val="000000"/>
          <w:sz w:val="20"/>
          <w:shd w:fill="FFFFFF" w:val="clear"/>
        </w:rPr>
        <w:t>may have liabilities, losses, or other exposures for which we do not have adequate insurance coverage, indemnification, or other protection.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perform significant due diligence prior to signing purchase agreements, we are dependent on the accuracy and completeness of statements and disclosures made or actions taken by the sellers and their representatives when conducting due diligence and evaluating the results of such due diligence. We do not control and may be unaware of activities of the sellers before the acquisition, including intellectual property disputes and other litigation or disputes, information security vulnerabilities, violations of laws, policies, rules, and regulations, commercial disputes, tax liabilities, and other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or be able to, collect sufficient, or any, indemnification or recourse from the sellers, which could have a material adverse impact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Losses caused by natural disasters, such as hurricanes and fires, the physical effects of climate change, or other unexpected events, could cause us to suffer material financial losses.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Catastrophes can be caused by various events, including, but not limited to, hurricanes, fires, and other severe weather. The incidence and severity of catastrophes are inherently unpredictable. </w:t>
      </w:r>
      <w:r>
        <w:rPr>
          <w:rFonts w:ascii="Times New Roman;sans-serif" w:hAnsi="Times New Roman;sans-serif"/>
          <w:b w:val="false"/>
          <w:color w:val="000000"/>
          <w:sz w:val="20"/>
        </w:rPr>
        <w:t xml:space="preserve">To the extent climate change causes changes in weather patterns, certain regions where we operate could experience increases in storm intensity, extreme temperatures, wildfires, rising sea-levels and/or drought. </w:t>
      </w:r>
      <w:r>
        <w:rPr>
          <w:rFonts w:ascii="Times New Roman;sans-serif" w:hAnsi="Times New Roman;sans-serif"/>
          <w:b w:val="false"/>
          <w:color w:val="000000"/>
          <w:sz w:val="20"/>
          <w:shd w:fill="FFFFFF" w:val="clear"/>
        </w:rPr>
        <w:t xml:space="preserve">With our headquarters, shared services, and many of our remote workers located in South Florida, we are more vulnerable to possible disruptions from hurricanes and the impacts resulting therefrom, such as tornadoes, flooding, fuel shortages, and disruption of internet and telecommunications services. We also have a significant amount of business and employees in California, which is vulnerable to wildfires and earthquakes. </w:t>
      </w:r>
      <w:r>
        <w:rPr>
          <w:rFonts w:ascii="Times New Roman;sans-serif" w:hAnsi="Times New Roman;sans-serif"/>
          <w:b w:val="false"/>
          <w:color w:val="000000"/>
          <w:sz w:val="20"/>
        </w:rPr>
        <w:t xml:space="preserve">Over time, these conditions could result in increases in our operating costs or business interruptions. </w:t>
      </w:r>
      <w:r>
        <w:rPr>
          <w:rFonts w:ascii="Times New Roman;sans-serif" w:hAnsi="Times New Roman;sans-serif"/>
          <w:b w:val="false"/>
          <w:color w:val="000000"/>
          <w:sz w:val="20"/>
          <w:shd w:fill="FFFFFF" w:val="clear"/>
        </w:rPr>
        <w:t>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or other catastrophes, including unexpected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Locations operated by our vendors may also be subject to natural disasters or other extreme weather conditions. To the extent any of these events occur, our operations and financial results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initiatives related to climate change could result in significant operational changes and expenditures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global temperatures, weather patterns, negative global climate change patterns, and increases in the frequency and severity of extreme weather and natural disasters in both the U.S. and India locations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Moreover, continuing political and social attention to climate change and environmental issues has resulted in both existing and pending disclosure requirements, international agreements and national, regional, and local legislation, regulatory measures, reporting obligations, and policy changes. There is increasing societal pressure in some of the areas where we operate to limit greenhouse gas emissions as well as other global initiatives. These agreements and measures may require or could result in future legislation, regulatory measures, or policy changes that would require operational changes, taxes, or purchases of emission credits to reduce emission of greenhouse gases from our operations, which may result in substantial 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increasing attention to climate change has resulted in governmental investigations and public and private litigation, which could increase our costs or otherwise adversely affect our business or results of operations. Any or all of these initiatives may result in significant operational changes and expenditures and could materially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Due to inherent limitations, our system of disclosure and internal controls and procedures may not be successful in preventing all errors and fraud, or in making all material information known in a timely manner to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any design may not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in the value of our goodwill, trade names, or other intangible assets could negatively impact our net income and earnings per share.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test goodwill and intangible assets with indefinite lives (such as trade names) annually, to determine if impairment has occurred. Long-lived assets and other identifiable intangible assets are also reviewed for impairment whenever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events or changes in circumstances indicate that amounts may not be recoverable. If the testing performed indicates that impairment has occurred, we are required to record an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w:t>
      </w:r>
    </w:p>
    <w:p>
      <w:pPr>
        <w:pStyle w:val="TextBody"/>
        <w:bidi w:val="0"/>
        <w:spacing w:lineRule="auto" w:line="288" w:before="200" w:after="160"/>
        <w:jc w:val="left"/>
        <w:rPr>
          <w:rFonts w:ascii="Times New Roman;sans-serif" w:hAnsi="Times New Roman;sans-serif"/>
          <w:b/>
          <w:i/>
          <w:color w:val="000000"/>
          <w:sz w:val="20"/>
        </w:rPr>
      </w:pPr>
      <w:r>
        <w:rPr>
          <w:rFonts w:ascii="Times New Roman;sans-serif" w:hAnsi="Times New Roman;sans-serif"/>
          <w:b/>
          <w:i/>
          <w:color w:val="000000"/>
          <w:sz w:val="20"/>
        </w:rPr>
        <w:t>If provisions in our corporate documents and Delaware law delay or prevent a change in control, we may be unable to consummate a transaction that our stockholders consider favorable.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 is issuable under our stock incentive plan and sales of this stock could cause our stock price to decline.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We have registered 3,000,000 shares of common stock for issuance under our 2020 Omnibus Incentive Plan. Shares of restricted stock outstanding as of February 14, 2024 were 538,098. In addition, a target of 413,836 performance stock award grants were outstanding as of February 14, 2024.</w:t>
      </w:r>
      <w:r>
        <w:rPr>
          <w:color w:val="000000"/>
        </w:rPr>
        <w:t xml:space="preserve"> </w:t>
      </w:r>
      <w:r>
        <w:rPr>
          <w:rFonts w:ascii="Times New Roman;sans-serif" w:hAnsi="Times New Roman;sans-serif"/>
          <w:b w:val="false"/>
          <w:color w:val="000000"/>
          <w:sz w:val="20"/>
        </w:rPr>
        <w:t>See Note 14 - Stockholders’ Equity to our consolidated financial statements. Vested restricted stock and common stock issued under our awards is eligible for resale in the public market without restriction. We cannot predict what effect, if any, market sales of shares held by any stockholder or the availability of these shares for future sale will have on the market price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1C. Cybersecurity</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acknowledge the evolving nature of cyber threats to our business and industry. The Board oversees management’s processes for identifying and mitigating cybersecurity risks to help align our risk exposure with our strategic objectives. To that end, cybersecurity risk management is integrated into the Company's overall enterprise risk management function. The Company utilizes a combination of processes and systems designed to assess, monitor, and respond to organizational cybersecurity risks in an effective manner across our operations.</w:t>
      </w:r>
      <w:r>
        <w:rPr>
          <w:color w:val="000000"/>
          <w:shd w:fill="FFFFFF" w:val="clear"/>
        </w:rPr>
        <w:t xml:space="preserve"> </w:t>
      </w:r>
      <w:r>
        <w:rPr>
          <w:rFonts w:ascii="Times New Roman;sans-serif" w:hAnsi="Times New Roman;sans-serif"/>
          <w:b w:val="false"/>
          <w:color w:val="000000"/>
          <w:sz w:val="20"/>
        </w:rPr>
        <w:t>The cybersecurity risk management program includes regular assessments, providing a holistic view of our risk posture; this contributes to the ongoing improvement of our process, cybersecurity program, and security position.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w:t>
      </w: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Understanding the importance of cybersecurity, the Board maintains oversight of the cybersecurity risks and threats within the organization. Specifically, Board has delegated authority to the Audit Committee to oversee risk management relating to cybersecurity. The Audit Committee is composed of members with various expertise including risk management, technology, and finance.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information security program is managed by a dedicated Vice President (VP) of Security Compliance and Risk Management (VP of Security), whose team is responsible for leading enterprise-wide cybersecurity strategy, policy, standards, architecture, and processes, and who reports directly to the Chief Information Officer (CIO).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Security and Privacy Steering Committee, which meets on a regular basis, also provides oversight of our security and privacy programs inclusive of defining the security strategy, reviewing risks and risk management strategies, and program performance. The committee (chaired by the VP of Security) comprises a broad selection of Senior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leaders within the organization. This facilitates enterprise-wide collaboration in aligning cybersecurity objectives with organizational goals.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VP of Security reports regularly to the CIO and the Security and Privacy Steering Committee. Further, the CIO provides regular reports to the Audit Committee and to the full Board. Reports include updates on our cyber risks and threats, projects to strengthen our information security systems, assessments of the information security program, and the emerging threat landscape.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Key Program Components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Standards Based Program</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best efforts to align our cybersecurity risk management with industry best practices, including processes to prevent, identify, assess, treat, monitor, and report on organizational risks. We design and assess our program utilizing tools such as the National Institute of Standards and Technology Cybersecurity Framework. This does not imply that we meet any particular technical standards, specifications, or requirements, only that we use these tools as a guide to help us identify, assess, and manage cybersecurity risks relevant to our business. This covers Company owned and managed systems and technologies, along with those supplied to the organization by third parties.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Evolving Threats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program utilizes various resources, inclusive of third-party partners, to support an awareness and understanding of evolving cybersecurity threats, allowing the organization to be actively engaged in understanding and staying abreast of risks, and thereby supporting informed decision-making.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Incident Response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includes a formal Incident Response Plan, designed to help the organization prepare for, respond to, and recover from confirmed or suspected cybersecurity or privacy incidents. Further, it evaluates and validates the effectiveness of our incident response capabilities, and allows for improvements as needed.</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Data Privacy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normal business operations, the Company collects, stores, and processes personal data. Being cognizant of the importance of protecting personal data and respecting the rights of individuals to have control over their personal information, the organization implements a data privacy program designed to comply with U.S. data privacy regulations and incorporates data privacy into its risk management program.</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Training and Education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enterprise-wide awareness and training program is utilized to mitigate risks by educating users on their role in combating security breaches, following good security practices, and maintaining awareness of security risks associated with their actions. This program includes mandatory and optional activities inclusive of online training, presentations, newsletters, blog posts, and simulation exercises.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Third Parties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Being cognizant of the complexity and dynamic nature of cybersecurity threats, the Company engages the services of various third-party experts, inclusive of Managed Security Service Providers, application and infrastructure cybersecurity assessors, consultants, and advisors. These engagements allow for the supplementing of our internal capabilities with specialized knowledge and expertise in the execution of cybersecurity strategic functions.</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Third-Party Risks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risks associated with third parties can adversely impact an organization’s overall security and risk posture, the Company implements a third-party risk management program to assess the security posture of third-party service providers. This includes security assessments prior to service engagement and ongoing monitoring.</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Benchmarking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understand that the effective management of cybersecurity risks requires continuous assessment and improvement. Security benchmarking is a critical component to assess how well our security investments and processes compare with internal and external standards and objectives.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     Management’s Role and Expertise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the Company’s cybersecurity risks rests with the VP of Security, Compliance, and Risk Management, who has over 15 years of dedicated experience in the field of cybersecurity across multiple industries. Their background includes extensive experience in cybersecurity program development, leadership, and risk management, which is instrumental in the execution of our cybersecurity strategies. Some specific responsibilities include overseeing our governance and compliance, risk management (identification, assessments, and treatment), and security and privacy awareness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Information Officer (CIO) possesses a wealth of information technology expertise and has served in various technology leadership roles across multiple industries. They are responsible for all technology systems, services, and solutions. The cybersecurity function reports directly into the office of the CIO.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extensive approach we take to cybersecurity, we may not be successful in preventing or mitigating a cybersecurity incident that could have a material adverse effect on us. While we maintain cybersecurity insurance, the costs related to cybersecurity threats or disruptions may not be fully insured. See Item 1A. “Risk Factors” for a discussion of cybersecurity risks.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actively leased office space in 11 facilities located in 6 states throughout the United States. We also lease office space in a facility located in Pune, India, which houses certain software development and information technology support. In connection with the developments from COVID, we expedited our restructuring plans and either reduced or fully vacated more than 50 leased office spaces through the year ended December 31, 2021. See our remaining lease obligations as of December 31, 2023 in Note 9 - Leases to our consolidated financial statements. We continuously evaluate facility needs based on the extent of our service offerings, the rate of customer growth or decline, the geographic distribution of our customer base, changing market conditions, and our long-term goals. As of December 31, 2023, our material leased properties are described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Boca Raton, Florida, with approximately 70,000 square feet of office space under lease through December 2025. Approximately 35,000 square feet is occupied by our corporate executive staff, legal, finance, risk management, internal audit, and information technology teams. Our Nurse and Allied executive staff and operations personnel as well as shared support functions of human resources, payroll and billing, sales, and marketing also occupy this space. The remainder of the space is vacant and available for a sublease.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Norcross, Georgia we have approximately 42,000 square feet of office space under lease through October 2024. Our Physician Staffing executive staff and operations personnel occupy approximately 7,000 square feet with the remainder of the space vacant and available for a sublease.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certain legal proceedings is included in </w:t>
      </w:r>
      <w:r>
        <w:rPr>
          <w:rFonts w:ascii="Times New Roman;sans-serif" w:hAnsi="Times New Roman;sans-serif"/>
          <w:b w:val="false"/>
          <w:color w:val="000000"/>
          <w:sz w:val="20"/>
          <w:shd w:fill="FFFFFF" w:val="clear"/>
        </w:rPr>
        <w:t>Note 12 - Contingencies</w:t>
      </w:r>
      <w:r>
        <w:rPr>
          <w:color w:val="000000"/>
        </w:rPr>
        <w:t xml:space="preserve"> </w:t>
      </w:r>
      <w:r>
        <w:rPr>
          <w:rFonts w:ascii="Times New Roman;sans-serif" w:hAnsi="Times New Roman;sans-serif"/>
          <w:b w:val="false"/>
          <w:color w:val="000000"/>
          <w:sz w:val="20"/>
        </w:rPr>
        <w:t>to the consolidated financial statements contained in Item 8. Financial Statements and Supplementary Data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currently trades under the symbol “CCRN” on the Nasdaq Global Select Market (Nasdaq).</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graph below </w:t>
      </w:r>
      <w:r>
        <w:rPr>
          <w:rFonts w:ascii="Times New Roman;sans-serif" w:hAnsi="Times New Roman;sans-serif"/>
          <w:b w:val="false"/>
          <w:color w:val="000000"/>
          <w:sz w:val="20"/>
        </w:rPr>
        <w:t>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2018 and tracks it through December 29,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6477000" cy="47244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477000" cy="47244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stock price performance included in this graph is not necessarily indicative of future stock price performance.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February 14, 2024, there were 151</w:t>
      </w:r>
      <w:r>
        <w:rPr>
          <w:color w:val="000000"/>
          <w:shd w:fill="FFFFFF" w:val="clear"/>
        </w:rPr>
        <w:t xml:space="preserve"> </w:t>
      </w:r>
      <w:r>
        <w:rPr>
          <w:rFonts w:ascii="Times New Roman;sans-serif" w:hAnsi="Times New Roman;sans-serif"/>
          <w:b w:val="false"/>
          <w:color w:val="000000"/>
          <w:sz w:val="20"/>
        </w:rPr>
        <w:t>stockholders of record of our common stock. In addition, there were</w:t>
      </w:r>
      <w:r>
        <w:rPr>
          <w:color w:val="000000"/>
          <w:shd w:fill="FFFFFF" w:val="clear"/>
        </w:rPr>
        <w:t xml:space="preserve"> </w:t>
      </w:r>
      <w:r>
        <w:rPr>
          <w:rFonts w:ascii="Times New Roman;sans-serif" w:hAnsi="Times New Roman;sans-serif"/>
          <w:b w:val="false"/>
          <w:color w:val="000000"/>
          <w:sz w:val="20"/>
          <w:shd w:fill="FFFFFF" w:val="clear"/>
        </w:rPr>
        <w:t>21,575 b</w:t>
      </w:r>
      <w:r>
        <w:rPr>
          <w:rFonts w:ascii="Times New Roman;sans-serif" w:hAnsi="Times New Roman;sans-serif"/>
          <w:b w:val="false"/>
          <w:color w:val="000000"/>
          <w:sz w:val="20"/>
        </w:rPr>
        <w:t>eneficial owners of our common stock held by brokers or other institutions on behalf of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or declared cash dividends on our common stock. Covenants in our credit agreement limit our ability to repurchase our common stock and declare and pay cash dividends on our common stock. On August 16, 2022, our Board of Directors authorized a new stock repurchase program (the New Repurchase Program), whereby we may repurchase up to $100.0 million of our shares of common stock, subject to the terms of our current credit agreement. The shares may be repurchased from time-to-time in the open market or in privately negotiated transactions. The New Repurchase Program was effective immediately and may be discontinued at any time at the Board's discretion. In addition to the repurchase of $100.0 million of our shares of common stock under the New Repurchase Program, we were authorized to continue to repurchase any remaining shares available for repurchase under our previous stock repurchase program, which was approved by the Board of Directors on February 28, 2008 (the Prior Repurchase Program). In August 2022, we repurchased the remaining shares available for repurchase under the Prior Repurchase Program. Upon completion of the authorized number of shares available for repurchase under the Prior Repurchase Program, we commenced repurchases under the New Repurchase Program during the third quarter of 2022. During the year ended December 31, 2021, we did not repurchase any shares of our 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fourth fiscal quarter ended December 31, 2023. See Note 14 - Stockholders’ Equity to our consolidated financial statements for additional information.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0"/>
        <w:gridCol w:w="381"/>
        <w:gridCol w:w="386"/>
        <w:gridCol w:w="109"/>
        <w:gridCol w:w="109"/>
        <w:gridCol w:w="109"/>
        <w:gridCol w:w="605"/>
        <w:gridCol w:w="440"/>
        <w:gridCol w:w="441"/>
        <w:gridCol w:w="109"/>
        <w:gridCol w:w="109"/>
        <w:gridCol w:w="109"/>
        <w:gridCol w:w="370"/>
        <w:gridCol w:w="370"/>
        <w:gridCol w:w="371"/>
        <w:gridCol w:w="109"/>
        <w:gridCol w:w="109"/>
        <w:gridCol w:w="109"/>
        <w:gridCol w:w="857"/>
        <w:gridCol w:w="756"/>
        <w:gridCol w:w="758"/>
        <w:gridCol w:w="109"/>
        <w:gridCol w:w="109"/>
        <w:gridCol w:w="109"/>
        <w:gridCol w:w="750"/>
        <w:gridCol w:w="750"/>
        <w:gridCol w:w="1072"/>
      </w:tblGrid>
      <w:tr>
        <w:trPr/>
        <w:tc>
          <w:tcPr>
            <w:tcW w:w="5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Dollar Value of Shares that May Yet Be Purchased Under the Plans or Programs (b)</w:t>
            </w:r>
          </w:p>
        </w:tc>
      </w:tr>
      <w:tr>
        <w:trPr/>
        <w:tc>
          <w:tcPr>
            <w:tcW w:w="10205"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 value in thousands, except per share data)</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137,800 </w:t>
            </w:r>
          </w:p>
        </w:tc>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$80,436</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167,092 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304,892 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304,892 </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Shares were repurchased under the New Repurchase Program. The program has no expiration date but may be terminated by the Board of Directors at any time. No shares were purchased other than through publicly announced programs during the periods shown.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On May 1, 2023, the Board of Directors authorized approximately $59.0 million in additional share repurchases, such that, effective for trades made after May 3, 2023, the aggregate amount available for stock repurchases under the New Repurchase Program was $100.0 million. Amounts shown in this column reflect amounts remaining under the New Repurchase Program referenced in Note 14 - Stockholders’ Equity to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color w:val="000000"/>
          <w:sz w:val="20"/>
          <w:shd w:fill="FFFFFF" w:val="clear"/>
        </w:rPr>
        <w:t>[Reserved].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Item 1. Business, Item 1A. Risk Factors, Forward-Looking Statements, and Item 15. Consolidated Financial Statements and the accompanying notes and other data, all of which appear elsewhere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(MD&amp;A) below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of Operations” in the Company’s Annual Report on Form 10-K for the fiscal year ended December 31, 2022 filed with the SEC on February 23, 2023 and such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Mint and HireUp.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workforce solutions include MSPs, VMS, in- home care services, education healthcare services, RPO, project management, and other outsourcing and consultative services as described in Item 1. Business in this Annual Report on Form 10-K. By utilizing the solutions that we offer, customers are able to better plan their personnel needs, optimize their talent acquisition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two reportable segments, Nurse and Allied Staffing and Physician Staffing, represented approximately 91% and 9%, respectively, of total revenue for the year ended December 31, 2023. See further discussion of these segments in Item 1.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For the year ended December 31, 2023, revenue from services decreased 28% year-over-year to $2.0 billion, </w:t>
      </w:r>
      <w:r>
        <w:rPr>
          <w:rFonts w:ascii="Times New Roman;sans-serif" w:hAnsi="Times New Roman;sans-serif"/>
          <w:b w:val="false"/>
          <w:color w:val="000000"/>
          <w:sz w:val="20"/>
        </w:rPr>
        <w:t>due primarily to travel and local volume and average bill rate declines in the Nurse and Allied Staffing segment, partially offset by double-digit year-over-year revenue growth in Cross Country Education (Education) within the Nurse and Allied Staffing segment, and in the Physician Staffing segment. In Education, the average number of FTEs on contract during the year increased 23%, and in the Physician Staffing segment the number of days filled increased across several specialties. Net income attributable to common stockholders for the year ended December 31, 2023 was $72.6 million, as compared to $188.5 million for the year ended December 31, 2022.</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we repaid all outstanding obligations of $73.9 million under the term loan and terminated the Term Loan Agreement.</w:t>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December 31, 2023, cash flow provided by operating activities was $248.5 million, with net repayments of $150.7 million on our term loan and senior secured asset-based credit facility (ABL), and a decrease in working capital stemming from a decrease in net receivables, partially offset by the timing of disbursements. As of December 31, 2023, we had $17.1 million in cash and cash equivalents with no borrowings drawn under the ABL. As of December 31, 2023, borrowing base availability under the ABL was $220.6 million with $13.8 million of undrawn letters of credit outstanding, leaving $206.8 million of excess availability. See Note 8 - Debt to our consolidated financial statements.</w:t>
      </w:r>
    </w:p>
    <w:p>
      <w:pPr>
        <w:pStyle w:val="TextBody"/>
        <w:bidi w:val="0"/>
        <w:spacing w:lineRule="auto" w:line="288" w:before="0" w:after="160"/>
        <w:jc w:val="left"/>
        <w:rPr/>
      </w:pPr>
      <w:r>
        <w:rPr>
          <w:rFonts w:ascii="Times New Roman;sans-serif" w:hAnsi="Times New Roman;sans-serif"/>
          <w:b w:val="false"/>
          <w:color w:val="000000"/>
          <w:sz w:val="20"/>
          <w:shd w:fill="FFFFFF" w:val="clear"/>
        </w:rPr>
        <w:t xml:space="preserve">We continue to invest in our core technologies, and in 2023 </w:t>
      </w:r>
      <w:r>
        <w:rPr>
          <w:rFonts w:ascii="Times New Roman;sans-serif" w:hAnsi="Times New Roman;sans-serif"/>
          <w:b w:val="false"/>
          <w:color w:val="000000"/>
          <w:sz w:val="20"/>
        </w:rPr>
        <w:t>launched our IRP and per diem modules on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Xperience</w:t>
      </w:r>
      <w:r>
        <w:rPr>
          <w:rFonts w:ascii="Times New Roman;sans-serif" w:hAnsi="Times New Roman;sans-serif"/>
          <w:b w:val="false"/>
          <w:color w:val="000000"/>
          <w:sz w:val="13"/>
        </w:rPr>
        <w:t>TM</w:t>
      </w:r>
      <w:r>
        <w:rPr>
          <w:rFonts w:ascii="Times New Roman;sans-serif" w:hAnsi="Times New Roman;sans-serif"/>
          <w:b w:val="false"/>
          <w:color w:val="000000"/>
          <w:sz w:val="20"/>
        </w:rPr>
        <w:t>. These are part of our larger technology ecosystem that we believe will continue to drive productivity, thus driving revenue and profitability, and</w:t>
      </w:r>
      <w:r>
        <w:rPr>
          <w:color w:val="000000"/>
          <w:shd w:fill="FFFFFF" w:val="clear"/>
        </w:rPr>
        <w:t xml:space="preserve"> </w:t>
      </w:r>
      <w:r>
        <w:rPr>
          <w:rFonts w:ascii="Times New Roman;sans-serif" w:hAnsi="Times New Roman;sans-serif"/>
          <w:b w:val="false"/>
          <w:color w:val="000000"/>
          <w:sz w:val="20"/>
          <w:shd w:fill="FFFFFF" w:val="clear"/>
        </w:rPr>
        <w:t xml:space="preserve">distinguishes us as a leader in healthcare staffing as it continues to open up new opportunities for us as a tech-enabled workforce solutions and advisory firm.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Results of Operations, Segment Results, and Liquidity and Capital Resources sections that follow for further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Metrics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614"/>
        <w:gridCol w:w="494"/>
        <w:gridCol w:w="496"/>
        <w:gridCol w:w="2514"/>
        <w:gridCol w:w="2514"/>
        <w:gridCol w:w="3573"/>
      </w:tblGrid>
      <w:tr>
        <w:trPr/>
        <w:tc>
          <w:tcPr>
            <w:tcW w:w="6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Nurse and Allied Staffing </w:t>
            </w:r>
          </w:p>
        </w:tc>
        <w:tc>
          <w:tcPr>
            <w:tcW w:w="8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FTEs represent the average number of Nurse and Allied Staffing contract personnel on a full-time equivalent basis.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revenue per FTE per day is calculated by dividing the Nurse and Allied Staffing revenue, excluding permanent placement, per FTE by the number of days worked in the respective periods. </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filled is calculated by dividing the total hours invoiced during</w:t>
              <w:br/>
              <w:t>the period, including an estimate for the impact of accrued revenue, by eight hours.</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day filled is calculated by dividing revenue as reported</w:t>
              <w:br/>
              <w:t xml:space="preserve">by days filled for the period presented. </w:t>
            </w:r>
          </w:p>
        </w:tc>
      </w:tr>
    </w:tbl>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for the periods indicated, selected consolidated statements of operations and comprehensive income data expressed as a percentage of revenue. Our historical results of operations are not necessarily indicative of future operating results.</w:t>
      </w:r>
    </w:p>
    <w:tbl>
      <w:tblPr>
        <w:tblW w:w="6905" w:type="dxa"/>
        <w:jc w:val="left"/>
        <w:tblInd w:w="0" w:type="dxa"/>
        <w:tblLayout w:type="fixed"/>
        <w:tblCellMar>
          <w:top w:w="28" w:type="dxa"/>
          <w:left w:w="28" w:type="dxa"/>
          <w:bottom w:w="28" w:type="dxa"/>
          <w:right w:w="28" w:type="dxa"/>
        </w:tblCellMar>
      </w:tblPr>
      <w:tblGrid>
        <w:gridCol w:w="1475"/>
        <w:gridCol w:w="1300"/>
        <w:gridCol w:w="1305"/>
        <w:gridCol w:w="352"/>
        <w:gridCol w:w="264"/>
        <w:gridCol w:w="472"/>
        <w:gridCol w:w="190"/>
        <w:gridCol w:w="190"/>
        <w:gridCol w:w="190"/>
        <w:gridCol w:w="352"/>
        <w:gridCol w:w="264"/>
        <w:gridCol w:w="551"/>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Year Ended December 31, 2023 compared to the Year Ended December 31, 2022</w:t>
      </w:r>
    </w:p>
    <w:tbl>
      <w:tblPr>
        <w:tblW w:w="10205" w:type="dxa"/>
        <w:jc w:val="center"/>
        <w:tblInd w:w="0" w:type="dxa"/>
        <w:tblLayout w:type="fixed"/>
        <w:tblCellMar>
          <w:top w:w="28" w:type="dxa"/>
          <w:left w:w="28" w:type="dxa"/>
          <w:bottom w:w="28" w:type="dxa"/>
          <w:right w:w="28" w:type="dxa"/>
        </w:tblCellMar>
      </w:tblPr>
      <w:tblGrid>
        <w:gridCol w:w="1316"/>
        <w:gridCol w:w="1033"/>
        <w:gridCol w:w="1037"/>
        <w:gridCol w:w="211"/>
        <w:gridCol w:w="976"/>
        <w:gridCol w:w="109"/>
        <w:gridCol w:w="109"/>
        <w:gridCol w:w="109"/>
        <w:gridCol w:w="109"/>
        <w:gridCol w:w="211"/>
        <w:gridCol w:w="976"/>
        <w:gridCol w:w="109"/>
        <w:gridCol w:w="109"/>
        <w:gridCol w:w="109"/>
        <w:gridCol w:w="109"/>
        <w:gridCol w:w="279"/>
        <w:gridCol w:w="1177"/>
        <w:gridCol w:w="143"/>
        <w:gridCol w:w="109"/>
        <w:gridCol w:w="109"/>
        <w:gridCol w:w="109"/>
        <w:gridCol w:w="367"/>
        <w:gridCol w:w="336"/>
        <w:gridCol w:w="944"/>
      </w:tblGrid>
      <w:tr>
        <w:trPr/>
        <w:tc>
          <w:tcPr>
            <w:tcW w:w="131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(160,395)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from services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Revenue</w:t>
      </w:r>
      <w:r>
        <w:rPr>
          <w:color w:val="000000"/>
        </w:rPr>
        <w:t xml:space="preserve"> </w:t>
      </w:r>
      <w:r>
        <w:rPr>
          <w:rFonts w:ascii="Times New Roman;sans-serif" w:hAnsi="Times New Roman;sans-serif"/>
          <w:b w:val="false"/>
          <w:color w:val="000000"/>
          <w:sz w:val="20"/>
        </w:rPr>
        <w:t>from services decreased $0.8 billion, or 28.0%, to $2.0 billion for the year ended December 31, 2023, as compared to $2.8 billion for the year ended December 31, 2022, primarily driven by a decline in the number of professionals on assignment in the Nurse and Allied Staffing segment as clients continue to right-size their needs, and travel bill rates that continued to normalize throughout the year, partially offset by an increase in volume in most specialties and an improved mix of higher bill rate specialties in the Physician Staffing segment.See further discussion in Segment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Direct 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 consist primarily of field employee compensation and independent contractor expenses, housing expenses, travel expenses, and related insurance expenses. Direct operating expenses decreased $0.6 billion, or 28.0%, to $1.6 billion for the year ended December 31, 2023, as compared to $2.2 billion for the year ended December 31, 2022, as a result of revenue decreases. As a percentage of total revenue, direct operating expenses were 77.7% for the year ended December 31, 2023, consistent with the prior year period.</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Selling, general and administrative expenses decreased $24.5 million, or 7.6%, to $300.4 million for the year ended December 31, 2023, as compared to $324.9 million for the year ended December 31, 2022, primarily due to decreases in compensation and benefit expense, as well as marketing and computer subscription fees, partially offset by increases in legal, insurance, and computer expenses. As a percentage of total revenue, selling, general and administrative expenses increased to 14.9% for the year ended December 31, 2023, as compared to</w:t>
      </w:r>
      <w:r>
        <w:rPr>
          <w:color w:val="000000"/>
          <w:shd w:fill="FFFFFF" w:val="clear"/>
        </w:rPr>
        <w:t xml:space="preserve"> </w:t>
      </w:r>
      <w:r>
        <w:rPr>
          <w:rFonts w:ascii="Times New Roman;sans-serif" w:hAnsi="Times New Roman;sans-serif"/>
          <w:b w:val="false"/>
          <w:color w:val="000000"/>
          <w:sz w:val="20"/>
          <w:shd w:fill="FFFFFF" w:val="clear"/>
        </w:rPr>
        <w:t>11.6%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Bad Debt Expense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Bad debt expense for the year ended </w:t>
      </w:r>
      <w:r>
        <w:rPr>
          <w:rFonts w:ascii="Times New Roman;sans-serif" w:hAnsi="Times New Roman;sans-serif"/>
          <w:b w:val="false"/>
          <w:color w:val="000000"/>
          <w:sz w:val="20"/>
          <w:shd w:fill="FFFFFF" w:val="clear"/>
        </w:rPr>
        <w:t>December 31, 2023 was</w:t>
      </w:r>
      <w:r>
        <w:rPr>
          <w:color w:val="000000"/>
        </w:rPr>
        <w:t xml:space="preserve"> </w:t>
      </w:r>
      <w:r>
        <w:rPr>
          <w:rFonts w:ascii="Times New Roman;sans-serif" w:hAnsi="Times New Roman;sans-serif"/>
          <w:b w:val="false"/>
          <w:color w:val="000000"/>
          <w:sz w:val="20"/>
        </w:rPr>
        <w:t xml:space="preserve">$14.6 million as compared to $9.6 million for the year ended December 31, 2022. The increase in bad debt expense for 2023 was primarily driven by a deterioration in our accounts receivable aging stemming from a single MSP customer. Although we expect to recover the remaining balance, further reserves may be required in the event this customer does not continue making payments or experiences a material deterioration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As a percentage of revenue, bad debt expense was 0.7% for the year ended December 31, 2023, as compared to and 0.3% for the year ended December 31, 2022.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Depreciation and amortization expense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rPr>
        <w:t xml:space="preserve">Depreciation and amortization expense for the year ended </w:t>
      </w:r>
      <w:r>
        <w:rPr>
          <w:rFonts w:ascii="Times New Roman;sans-serif" w:hAnsi="Times New Roman;sans-serif"/>
          <w:b w:val="false"/>
          <w:color w:val="000000"/>
          <w:sz w:val="20"/>
          <w:shd w:fill="FFFFFF" w:val="clear"/>
        </w:rPr>
        <w:t>December 31, 2023 was</w:t>
      </w:r>
      <w:r>
        <w:rPr>
          <w:color w:val="000000"/>
        </w:rPr>
        <w:t xml:space="preserve"> </w:t>
      </w:r>
      <w:r>
        <w:rPr>
          <w:rFonts w:ascii="Times New Roman;sans-serif" w:hAnsi="Times New Roman;sans-serif"/>
          <w:b w:val="false"/>
          <w:color w:val="000000"/>
          <w:sz w:val="20"/>
        </w:rPr>
        <w:t xml:space="preserve">$18.3 million as compared to $12.6 million for the year ended December 31, 2022. The increase is primarily due to the additional amortization of other intangible assets from the Mint and HireUp acquisitions, as well as depreciation related to computer hardware and software assets placed in service during the year. See Note 5 - Goodwill, Trade Names, and Other Intangible Assets to our consolidated financial statements. As a percentage of revenue, depreciation and amortization expense was 0.9% for the year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and 0.5%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for the years ended December 31, 2023 and 2022 were primarily comprised of employee termination costs and ongoing lease costs related to the Company's strategic reduction of its real estate footprint, and totaled $2.6 million and $1.9 million, respectively. Amounts for the year ended December 31, 2022 include a benefit associated with the early termination of the lease for one of the Company's corporate offices in the second quarter, which was previously restructured. See Note 2 - Summary of Significant Accounting Policies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Legal settlement charges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shd w:fill="FFFFFF" w:val="clear"/>
        </w:rPr>
        <w:t>For</w:t>
      </w:r>
      <w:r>
        <w:rPr>
          <w:color w:val="000000"/>
        </w:rPr>
        <w:t xml:space="preserve"> </w:t>
      </w:r>
      <w:r>
        <w:rPr>
          <w:rFonts w:ascii="Times New Roman;sans-serif" w:hAnsi="Times New Roman;sans-serif"/>
          <w:b w:val="false"/>
          <w:color w:val="000000"/>
          <w:sz w:val="18"/>
        </w:rPr>
        <w:t>the year ended December 31, 2023, the Company incurred legal settlement charges of $1.1 million related to the settlement of a wage and hour class action lawsuit and associated legal fees. There were no such charges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Impairment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charges totaled $0.7 million for the year ended December 31, 2023 and related to the write-off of an IT project and real estate restructuring activities. Non-cash impairment charges totaled $5.6 million for the year ended December 31, 2022 and related to real estate restructuring activities and the write-off of an IT project. See Note 5 - Goodwill, Trade Names, and Other Intangible Assets and Note 9 - Leases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$8.1 million for the year ended December 31, 2023 as compared to $14.4 million for the year ended December 31, 2022, due to lower average borrowings, partially offset by a higher effective interest rate. The effective interest rate on our borrowings was 10.4% and 9.1% for the years ended December 31,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Loss on early extinguishment of debt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Loss on early extinguishment of debt for the year ended December 31, 2023 consisted of the write-off of debt issuance costs related to the repayment and termination of the term loan in the second quarter of 2023. </w:t>
      </w:r>
      <w:r>
        <w:rPr>
          <w:rFonts w:ascii="Times New Roman;sans-serif" w:hAnsi="Times New Roman;sans-serif"/>
          <w:b w:val="false"/>
          <w:color w:val="000000"/>
          <w:sz w:val="20"/>
        </w:rPr>
        <w:t>Loss on early extinguishment of debt for the year ended December 31, 2022 consisted of a prepayment premium and the write-off of debt issuance costs related to the optional prepayments on the term loan made in the second and fourth quarters of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other income, net included a $1.1 million gain on lease termination as a result of the early termination of one of our corporate offices.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I</w:t>
      </w:r>
      <w:r>
        <w:rPr>
          <w:rFonts w:ascii="Times New Roman;sans-serif" w:hAnsi="Times New Roman;sans-serif"/>
          <w:b/>
          <w:i/>
          <w:color w:val="000000"/>
          <w:sz w:val="20"/>
          <w:shd w:fill="FFFFFF" w:val="clear"/>
        </w:rPr>
        <w:t>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totaled $30.3 million for the year ended December 31, 2023, as compared to $67.9 million for the year ended December 31, 2022. The decrease in income tax expense was primarily related to a decrease in book income. The effective tax rates were 29.4% and 26.5%, including the impact of discrete items, for the years ended December 31, 2023 and 2022, respectively, and were impacted by federal, international, and state taxes. See Note 14 - Income Taxes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operating segments and a reconciliation to income from operations for the periods indicated are as follows:</w:t>
      </w:r>
    </w:p>
    <w:tbl>
      <w:tblPr>
        <w:tblW w:w="5558" w:type="dxa"/>
        <w:jc w:val="center"/>
        <w:tblInd w:w="0" w:type="dxa"/>
        <w:tblLayout w:type="fixed"/>
        <w:tblCellMar>
          <w:top w:w="28" w:type="dxa"/>
          <w:left w:w="28" w:type="dxa"/>
          <w:bottom w:w="28" w:type="dxa"/>
          <w:right w:w="28" w:type="dxa"/>
        </w:tblCellMar>
      </w:tblPr>
      <w:tblGrid>
        <w:gridCol w:w="940"/>
        <w:gridCol w:w="823"/>
        <w:gridCol w:w="831"/>
        <w:gridCol w:w="211"/>
        <w:gridCol w:w="976"/>
        <w:gridCol w:w="109"/>
        <w:gridCol w:w="109"/>
        <w:gridCol w:w="109"/>
        <w:gridCol w:w="109"/>
        <w:gridCol w:w="211"/>
        <w:gridCol w:w="97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17 - Segment Data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statistical data for our business segments for the periods indicated are as follows:</w:t>
      </w:r>
    </w:p>
    <w:tbl>
      <w:tblPr>
        <w:tblW w:w="8983" w:type="dxa"/>
        <w:jc w:val="center"/>
        <w:tblInd w:w="0" w:type="dxa"/>
        <w:tblLayout w:type="fixed"/>
        <w:tblCellMar>
          <w:top w:w="28" w:type="dxa"/>
          <w:left w:w="28" w:type="dxa"/>
          <w:bottom w:w="28" w:type="dxa"/>
          <w:right w:w="28" w:type="dxa"/>
        </w:tblCellMar>
      </w:tblPr>
      <w:tblGrid>
        <w:gridCol w:w="1605"/>
        <w:gridCol w:w="1414"/>
        <w:gridCol w:w="1420"/>
        <w:gridCol w:w="202"/>
        <w:gridCol w:w="574"/>
        <w:gridCol w:w="112"/>
        <w:gridCol w:w="112"/>
        <w:gridCol w:w="112"/>
        <w:gridCol w:w="112"/>
        <w:gridCol w:w="202"/>
        <w:gridCol w:w="574"/>
        <w:gridCol w:w="112"/>
        <w:gridCol w:w="109"/>
        <w:gridCol w:w="109"/>
        <w:gridCol w:w="109"/>
        <w:gridCol w:w="196"/>
        <w:gridCol w:w="496"/>
        <w:gridCol w:w="109"/>
        <w:gridCol w:w="109"/>
        <w:gridCol w:w="109"/>
        <w:gridCol w:w="109"/>
        <w:gridCol w:w="269"/>
        <w:gridCol w:w="271"/>
        <w:gridCol w:w="437"/>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Nurse and Allied Staffing statistical data:</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FTEs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Average Nurse and Allied Staffing revenue per FTE per day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Physician Staffing statistical data:</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Days filled </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per day filled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See definition of Business Measurements under the Operating Metrics section of the MD&amp;A.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Segment Comparison - Year Ended December 31, 2023 compared to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Nurse and Allied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$0.9 billion, or 31.8% to $1.8 billion for the year ended December 31, 2023, as compared to $2.7 billion for the year ended December 31, 2022, primarily driven by a decline in the number of professionals on assignment as clients continued to right-size their needs and travel bill rates continued to normalize throughout the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 income for the year ended December 31, 2023, decreased $158.6 million or 44.6%, to $196.8 million as compared to $355.4 million for the year ended December 31, 2022, driven by decreased revenue. As a percentage of segment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margin decreased to 10.7% for the year ended December 31, 2023 as compared to 13.2% for the year ended December 31, 2022.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average number of FTEs on contract during the year ended December 31, 2023 decreased 16.6% from the year ended December 31, 2022, </w:t>
      </w:r>
      <w:r>
        <w:rPr>
          <w:rFonts w:ascii="Times New Roman;sans-serif" w:hAnsi="Times New Roman;sans-serif"/>
          <w:b w:val="false"/>
          <w:color w:val="000000"/>
          <w:sz w:val="20"/>
          <w:shd w:fill="FFFFFF" w:val="clear"/>
        </w:rPr>
        <w:t>primarily due to headcount decline in travel nurse and local</w:t>
      </w:r>
      <w:r>
        <w:rPr>
          <w:rFonts w:ascii="Times New Roman;sans-serif" w:hAnsi="Times New Roman;sans-serif"/>
          <w:b w:val="false"/>
          <w:color w:val="000000"/>
          <w:sz w:val="20"/>
        </w:rPr>
        <w:t>. Average revenue per FTE per day decreased approximately 18.2% due to the decrease in the average bill rates.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Physician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Revenue increased $72.1 million, or 67.8% to $178.3 million for the year ended December 31, 2023, as compared to $106.2 million for the year ended December 31, 2022, </w:t>
      </w:r>
      <w:r>
        <w:rPr>
          <w:rFonts w:ascii="Times New Roman;sans-serif" w:hAnsi="Times New Roman;sans-serif"/>
          <w:b w:val="false"/>
          <w:color w:val="000000"/>
          <w:sz w:val="20"/>
          <w:shd w:fill="FFFFFF" w:val="clear"/>
        </w:rPr>
        <w:t>primarily related to the Mint acquisition as well as an increase in volume in most specialties and an improved mix of higher bill rate specialties.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 for the year ended December 31, 2023, increased $4.3 million or 77.7% to $9.8 million as compared to $5.5 million in the year ended December 31, 2022, driven by higher revenue primarily related to the Mint acquisition. As a percentage of segment revenue, contribution income was 5.5% for the year ended December 31, 2023 and 5.2%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days filled increased 54.1% to 92,504 in the year ended December 31, 2023, as compared to 60,038 in the year ended December 31, 2022. Revenue per day filled was $1,927 for the year ended December 31, 2023 and $1,769 for the year ended December 31, 2022 due to the improved mix of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 overhead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includes unallocated executive leadership and other centralized corporate functional support costs such as finance, IT, legal, human resources, and marketing, as well as public company expenses and corporate-wide projects. Corporate overhead increased to $71.0 million for the year ended December 31, 2023, from $67.1 million for the year ended December 31, 2022, primarily due to increases in consulting, legal expense, and computer expense. As a percentage of consolidated revenue, corporate overhead was 3.5% for the year ended December 31, 2023, and 2.4% for the year ended December 31, 2022.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we repaid all $73.9 million in outstanding obligations under the term loan and terminated the debt agreement. At December 31, 2023, we reported $17.1 million in cash and cash equivalents, with no borrowings drawn under the ABL. Working capital decreased by $137.4 million to $266.6 million as of December 31, 2023, as compared to $404.0 million as of December 31, 2022, primarily due to a decrease in net receivables, partially offset by the timing of disbursements. As of December 31, 2023, our days' sales outstanding, net of amounts owed to subcontractors, was 68 days, down 4 days year-over-year, and excluding the impact from one MSP client, would have been 63 days. As of December 31, 2023, we did not have any off-balance sheet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needs from a combination of cash on hand, operating cash flows, and funds available through the ABL. See debt discussion which follows.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In the third quarter of 2022, the Board of Directors authorized the New Repurchase Program, whereby we may repurchase up to $100.0 million shares of common stock. Upon completion of the authorized number of shares available for repurchase under the Prior Repurchase Program, we commenced repurchases under the New Repurchase Program during the third quarter of 2022. During the fourth quarter of</w:t>
      </w:r>
      <w:r>
        <w:rPr>
          <w:color w:val="000000"/>
          <w:shd w:fill="FFFFFF" w:val="clear"/>
        </w:rPr>
        <w:t xml:space="preserve"> </w:t>
      </w:r>
      <w:r>
        <w:rPr>
          <w:rFonts w:ascii="Times New Roman;sans-serif" w:hAnsi="Times New Roman;sans-serif"/>
          <w:b w:val="false"/>
          <w:color w:val="000000"/>
          <w:sz w:val="20"/>
          <w:shd w:fill="FFFFFF" w:val="clear"/>
        </w:rPr>
        <w:t xml:space="preserve">2022, we entered into a Rule 10b5-1 Repurchase Plan to allow for share repurchases during blackout periods, effective through November 2, 2023. In the second quarter of 2023, the Board of Directors authorized the replenishment of the amount available for stock repurchases under the New Repurchase Program back to $100 million, effective for trades made after May 3, 2023. In the third quarter of 2023, we entered into a new Rule 10b5-1 Repurchase Plan to allow for share repurchases during the Company's blackout periods, beginning on January 2, 2024. During the year ended December 31, 2023, we repurchased and retired a total of 2,343,583 shares of common stock for $57.6 million, at an average price of $24.58 per share. During the year ended December 31, 2022, under both programs, we repurchased and retired a total of 1,364,815 shares of common stock for $35.3 million, at an average price of $25.83 per share. As of December 31, 2023,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had $77.3 million remaining for share repurchase under the New Repurchase Program, subject to certain conditions in our Loan Agreement.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 Comparisons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2023 Compared to Year Ended December 31, 2022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$114.4 million to $248.5 million for the year ended December 31, 2023 as compared to $134.1 million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2023 was $13.8 million as compared to $43.9 million in the year ended December 31, 2022. Net cash used in the year ended December 31, 2023 was primarily for capital expenditures. Net cash used in the year ended December 31, 2022 included $35.1 million primarily related to the acquisitions of Mint and HireUp, as well as capital expenditures primarily related to multiple IT projects.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2023 was $221.2 million, as compared to $87.6 million during the year ended December 31, 2022. During the year ended December 31, 2023, we reported net repayments of $150.7 million on debt, and used cash to pay $4.9 million for income taxes on share-based compensation, $57.6 million for share repurchases, $7.5 million for contingent consideration, and an immaterial amount for other financing activities. During the year ended December 31, 2022, we reported $67.6 million of net borrowings on our ABL and used cash to repay borrowings of $100.4 million on our term loan, $2.4 million on our note payable, $5.3 million for income taxes on share-based compensation, $3.2 million in debt issuance costs, $35.3 million for share repurchases, $7.5 million for contingent consideration, and $1.1 million for other financing activities.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Term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we entered into a Term Loan Agreement, which provided for a six-year second lien subordinated term loan in the amount of $100.0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8 - Debt to our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consolidated statements of operations and comprehensive income. All subsidiary guarantees of the term loan were automatically released upon the termination of the Term Loan Agreement.</w: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2019 Asset-Based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25, 2019, the prior senior credit facility entered into in August 2017 was replaced by a $120.0 million asset-based loan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extended the credit facility for an additional five years, increased certain borrowing base sub-limits, and provided the option for all or a portion of the borrowings to bear interest at a rate based on the Secured Overnight Financing Rate (SOFR) or Base Rate, at the election of the borrowers, plus an applicable margin. On September 29, 2023, we amended the Loan Agreement (Sixth Amendment), which changed the minimum fixed charge coverage ratio from a maintenance covenant to a springing covenant based on excess availability.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our excess availability under the revolving credit facility. In addition, the facility is subject to an unused line fee, letter of credit fees, and an administrative fee. Borrowing base availability under the ABL was $220.6 million at December 31, 2023, with no borrowings drawn and $13.8 million of letters of credit outstanding, leaving $206.8 million of excess availability.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Note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first two installments of $2.4 million each related to the subordinated promissory note payable, made in connection with the Mediscan acquisition, were paid in the second quarter of 2020 and in the first quarter of 2021, respectively. The third and final installment of $2.6 million, including interest of 2% per annum, accruing from April 1, 2020, was paid in the first quarter of 2022.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 Debt to our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Critical Accounting Policies and Estimates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These estimates and judgments may also be impacted by the deterioration of demand for our services, deterioration of labor market conditions, reduction of our stock price for an extended period, or other factors as described in Item 1A. Risk Factors.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2023. See Note 2 - Summary of Significant Accounting Policies contained herein. These estimates are based on information that is currently available to us and on various assumptions that we believe to be reasonable under the circumstances, but come with certain risks and uncertainties, including but not limited to: projections of future income and cash flows, market demand, inflationary pressures, long-term growth rates, the identification of appropriate market multiples, royalty rates, and the choice of an appropriate discount rates. Actual results could vary from those estimates under different assumptions or conditions.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critical accounting policies affect the more significant judgments and estimates used in the preparation of our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Goodwill, trade names, and other intangible assets</w:t>
      </w:r>
      <w:r>
        <w:rPr>
          <w:color w:val="FF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Historically, for intangible assets purchased in a business combination, the estimated fair values of the assets received were used to establish their recorded values. Effective January 1, 2023, related revenue contracts with customers are accounted for as if we had originated the contracts. The acquired contract assets and contract liabilities are recognized and measured consistent with how they were recognized and measured in the acquiree's financial statements.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estimates and assumptions could materially affect the determination of fair value for each reporting unit. See Note 5 - Goodwill, Trade Names, and Other Intangible Assets, where impairment testing in 2023, 2022, and 2021 is more fully described.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shd w:fill="FFFFFF" w:val="clear"/>
        </w:rPr>
        <w:t>Health, workers</w:t>
      </w:r>
      <w:r>
        <w:rPr>
          <w:color w:val="000000"/>
        </w:rPr>
        <w:t>’</w:t>
      </w:r>
      <w:r>
        <w:rPr>
          <w:color w:val="000000"/>
          <w:shd w:fill="FFFFFF" w:val="clear"/>
        </w:rPr>
        <w:t xml:space="preserve"> </w:t>
      </w:r>
      <w:r>
        <w:rPr>
          <w:rFonts w:ascii="Times New Roman;sans-serif" w:hAnsi="Times New Roman;sans-serif"/>
          <w:b/>
          <w:i/>
          <w:color w:val="000000"/>
          <w:sz w:val="20"/>
          <w:shd w:fill="FFFFFF" w:val="clear"/>
        </w:rPr>
        <w:t>compensation, and professional liability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corporate employees and healthcare professionals on assignment as well as actual company experience and increases in national healthcare costs. As of December 31, 2023 and 2022, we had $6.6 million and $6.2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2023, and 2022, we had $12.6 million and $14.9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2023, and 2022, we had $3.1 million and $4.2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our services when control of the promised services is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nature, amount, timing and uncertainty of revenue and cash flows from which we generate revenue.</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Temporary Staffing Revenue</w:t>
      </w:r>
    </w:p>
    <w:p>
      <w:pPr>
        <w:pStyle w:val="TextBody"/>
        <w:bidi w:val="0"/>
        <w:spacing w:lineRule="auto" w:line="288" w:before="0" w:after="160"/>
        <w:jc w:val="left"/>
        <w:rPr/>
      </w:pPr>
      <w:r>
        <w:rPr>
          <w:rFonts w:ascii="Times New Roman;sans-serif" w:hAnsi="Times New Roman;sans-serif"/>
          <w:b w:val="false"/>
          <w:color w:val="000000"/>
          <w:sz w:val="20"/>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2023 and December 31, 2022, our estimate of amounts that had been worked but had not been billed totaled $89.9 million and $152.4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respectively, and are included in accounts receivable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Services Revenue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other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2023. 2022, and 2021.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Versus Net Policies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revenue on a gross basis as a principal or on a net basis as an agent depending on the contracted arrangement, as follows: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have certain contracts with acute care facilities to provide comprehensive MSP solutions. Under these contract arrangements, we primarily use our nurses, along with third-party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our Physician Staffing business is recognized on a gross basis as we are the principal in the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maintain an allowance for doubtful accounts for estimated losses resulting from the inability of our customers to make required payments, which results in a provision for bad debt expense. We determine the adequacy of this allowance based on historical write-off experience, current conditions, an analysis of the aging of outstanding receivables and customer payment patterns, and specific reserves for customers in adverse conditions adjusted for current expectations for the customers or industry. Based on the information currently available, we also consider current expectations of future economic conditions when estimating our allowance for doubtful accounts.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rate and hour differences which may arise in the ordinary course of business and adjustments to the reserve are recorded as contra-revenue. As of December 31, 2023 and 2022, our total allowances were $20.5 million and $14.7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Contingent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litigation, claims, investigations, and other proceedings that arise in the ordinary course of our business. These matters primarily relate to employee-related matters that include individual and collective claims, professional liability, tax, and payroll practices. Our healthcare facility customers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12 -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2023,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val="false"/>
          <w:color w:val="000000"/>
          <w:sz w:val="20"/>
        </w:rPr>
        <w:t>deferred tax assets related to certain state and foreign NOL carryforwards of</w:t>
      </w:r>
      <w:r>
        <w:rPr>
          <w:color w:val="000000"/>
          <w:shd w:fill="FFFFFF" w:val="clear"/>
        </w:rPr>
        <w:t xml:space="preserve"> </w:t>
      </w:r>
      <w:r>
        <w:rPr>
          <w:rFonts w:ascii="Times New Roman;sans-serif" w:hAnsi="Times New Roman;sans-serif"/>
          <w:b w:val="false"/>
          <w:color w:val="000000"/>
          <w:sz w:val="20"/>
          <w:shd w:fill="FFFFFF" w:val="clear"/>
        </w:rPr>
        <w:t>$1.1 m</w:t>
      </w:r>
      <w:r>
        <w:rPr>
          <w:rFonts w:ascii="Times New Roman;sans-serif" w:hAnsi="Times New Roman;sans-serif"/>
          <w:b w:val="false"/>
          <w:color w:val="000000"/>
          <w:sz w:val="20"/>
        </w:rPr>
        <w:t>illion. But for those NOL carryforwards with an indefinite carryover, the carryforwards will expire as follows: state between 2024 and 2041, and foreign between 2024 and 2028. As of December 31, 2022, we had deferred tax assets related to certain state and foreign NOL carryforwards of</w:t>
      </w:r>
      <w:r>
        <w:rPr>
          <w:color w:val="000000"/>
          <w:shd w:fill="FFFFFF" w:val="clear"/>
        </w:rPr>
        <w:t xml:space="preserve"> </w:t>
      </w:r>
      <w:r>
        <w:rPr>
          <w:rFonts w:ascii="Times New Roman;sans-serif" w:hAnsi="Times New Roman;sans-serif"/>
          <w:b w:val="false"/>
          <w:color w:val="000000"/>
          <w:sz w:val="20"/>
          <w:shd w:fill="FFFFFF" w:val="clear"/>
        </w:rPr>
        <w:t xml:space="preserve">$1.4 </w:t>
      </w:r>
      <w:r>
        <w:rPr>
          <w:rFonts w:ascii="Times New Roman;sans-serif" w:hAnsi="Times New Roman;sans-serif"/>
          <w:b w:val="false"/>
          <w:color w:val="000000"/>
          <w:sz w:val="20"/>
        </w:rPr>
        <w:t xml:space="preserve">million.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2022, we had an immaterial amount of valuation allowances on our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An unrecognized tax benefit represents the difference between the recognition of benefits related to exposure items for income tax reporting purposes and financial reporting purposes. For the years ended December 31, 2023 and 2022, the unrecognized tax benefit is included in uncertain tax positions - non-current in the consolidated balance sheets. As of December 31, 2023, total unrecognized tax benefits recorded was $10.6 million. We reserve for interest and penalties on exposure items, if applicable, which is recorded as a component of the overall income tax provision.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14, 2023, the Financial Accounting Standards Board (FASB) issued Accounting Standards Update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to increase the disclosure requirements around rate reconciliation information and certain types of income taxes companies are required to pay. Companies will be required to provide a breakout of amounts paid for taxes between federal, state, and foreign taxing jurisdictions, rather than a lump sum amount, with additional detail required of those jurisdictions representing greater than five percent of the total by jurisdiction. Further, the rate reconciliation will require disaggregation into eight specific categories, with these categories further disaggregated by jurisdiction for amounts exceeding five percent of their domestic tax rate. The rate reconciliation also will need to disclose both dollar amounts and percentages. This guidance is effective for annual periods beginning after December 15, 2024. Early adoption is permitted. We expect to adopt this standard for our fiscal year ended December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many jurisdictions implemented the Pillar Two rules issued by the Organization for Economic Co-operation and Development. In general, large multinational entity groups with consolidated revenue in excess of EUR 750 in at least two of the preceding four years could be subject to the new rules in jurisdictions with an effective tax rate below fifteen percent. We currently do not operate in any jurisdictions that have implemented the Pillar Two rules, but jurisdictions may adopt retroactive to January 1, 2024. We do not expect the adoption of the Pillar Two rules by any jurisdiction in which we currently operate to have a material impact on our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Inflation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variable interest rate risk associated with our Loan Agreement entered into on October 25, 2019. This agreement charges interest at a rate based on either SOFR or Base Rate (as defined in the agreement) plus an applicable margin. Our Term Loan Agreement, entered into on June 8, 2021, was repaid and terminated on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1% change in interest rates would have resulted in interest expense fluctuating approximately $0.6 million and $1.5 million, respectively, for the years ended December 31, 2023 and 2022. See Note 8 - Debt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8.</w:t>
      </w:r>
      <w:r>
        <w:rPr>
          <w:color w:val="000000"/>
        </w:rPr>
        <w:t xml:space="preserve">  </w:t>
      </w:r>
      <w:r>
        <w:rPr>
          <w:rFonts w:ascii="Times New Roman;sans-serif" w:hAnsi="Times New Roman;sans-serif"/>
          <w:b/>
          <w:color w:val="000000"/>
          <w:sz w:val="20"/>
        </w:rPr>
        <w:t>Financial Statements and Supplementary Data.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Item 15 – Exhibits, Financial Statement Schedules of Part IV of this Annual Report on Form 10-K.</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during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our internal control over financial reporting as of December 31, 2023. In making this assessment, management used the criteria set forth by the Committee of Sponsoring Organizations of the Treadway Commission, or COSO, in the Internal Control-Integrated Framework (2013 framework).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its evaluation, management concluded that, as of December 31, 2023, our internal control over financial reporting is effective based on the specific criteria.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Attestation Report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effectiveness of our internal control over financial reporting as of December 31, 2023 has been audited by Deloitte &amp; Touche LLP, an independent registered public accounting firm, as stated in their report which appears in Part IV, Item 15 of this report.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Trading Plans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directors and officers (as defined in Rule 16a-1(f) under the Securities Exchange Act of 1934, as amended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directors, executive officers and corporate governance is included in our Definitive Proxy Statement for the 2024 Annual Meeting of Stockholders (Proxy Statement) to be filed pursuant to Regulation 14A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executive compensation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adopted a Compensation Recoupment Policy that complies with the requirements of the Nasdaq Listing Rules. Under the policy, we generally are required to take reasonably prompt action to recover erroneously awarded incentive-based compensation from the covered persons subject to the policy if we are required to prepare an accounting restatement due to our material noncompliance with financial reporting requirements under the securities laws. A copy of the Compensation Recoupment Policy, which became effective on December 1, 2023, is filed as Exhibit 97.1 to this Annual Report on Form 10-K.</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Stockholders Matters.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beneficial ownership of our common stock is included in our Proxy Statement to be filed with the SEC not later than 120 days after the close of the fiscal year covered by this Annual Report on Form 10-K and such information is incorporated herein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equity compensation plans as of December 31, 2023, see table below:</w:t>
      </w:r>
    </w:p>
    <w:tbl>
      <w:tblPr>
        <w:tblW w:w="10205" w:type="dxa"/>
        <w:jc w:val="left"/>
        <w:tblInd w:w="0" w:type="dxa"/>
        <w:tblLayout w:type="fixed"/>
        <w:tblCellMar>
          <w:top w:w="28" w:type="dxa"/>
          <w:left w:w="28" w:type="dxa"/>
          <w:bottom w:w="28" w:type="dxa"/>
          <w:right w:w="28" w:type="dxa"/>
        </w:tblCellMar>
      </w:tblPr>
      <w:tblGrid>
        <w:gridCol w:w="1452"/>
        <w:gridCol w:w="1276"/>
        <w:gridCol w:w="1282"/>
        <w:gridCol w:w="594"/>
        <w:gridCol w:w="594"/>
        <w:gridCol w:w="595"/>
        <w:gridCol w:w="109"/>
        <w:gridCol w:w="109"/>
        <w:gridCol w:w="109"/>
        <w:gridCol w:w="512"/>
        <w:gridCol w:w="984"/>
        <w:gridCol w:w="265"/>
        <w:gridCol w:w="109"/>
        <w:gridCol w:w="109"/>
        <w:gridCol w:w="109"/>
        <w:gridCol w:w="623"/>
        <w:gridCol w:w="566"/>
        <w:gridCol w:w="808"/>
      </w:tblGrid>
      <w:tr>
        <w:trPr/>
        <w:tc>
          <w:tcPr>
            <w:tcW w:w="14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w:t>
              <w:br/>
              <w:t>be issued upon exercise</w:t>
              <w:br/>
              <w:t>of outstanding options,</w:t>
              <w:br/>
              <w:t>warrants and rights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 options,</w:t>
              <w:br/>
              <w:t>warrants and</w:t>
              <w:br/>
              <w:t>rights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remaining available for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future issuance under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(excluding</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reflected in</w:t>
            </w:r>
          </w:p>
          <w:p>
            <w:pPr>
              <w:pStyle w:val="TableContents"/>
              <w:bidi w:val="0"/>
              <w:spacing w:lineRule="auto" w:line="240" w:before="0" w:after="0"/>
              <w:jc w:val="center"/>
              <w:rPr/>
            </w:pPr>
            <w:r>
              <w:rPr>
                <w:rFonts w:ascii="Times New Roman;sans-serif" w:hAnsi="Times New Roman;sans-serif"/>
                <w:b/>
                <w:color w:val="000000"/>
                <w:sz w:val="20"/>
              </w:rPr>
              <w:t xml:space="preserve">column (a)) (c) </w:t>
            </w:r>
            <w:r>
              <w:rPr>
                <w:rFonts w:ascii="Times New Roman;sans-serif" w:hAnsi="Times New Roman;sans-serif"/>
                <w:b/>
                <w:color w:val="000000"/>
                <w:sz w:val="13"/>
              </w:rPr>
              <w:t>(1)</w:t>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1,614,860 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1,614,860 </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For Performance Stock Awards issued under the 2020 Omnibus Incentive Plans,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Performance Stock Awards were issued under the 2020 Omnibus Incentive Plan beginning March 31, 2021. See Note 14 - Stockholders’ Equity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certain relationships and related transactions, and director independence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the fees and services of our principal accountant is included in our Proxy Statement to be filed with the SEC not later than 120 days after the close of the fiscal year covered by this Annual Report on Form 10-K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2"/>
        <w:gridCol w:w="450"/>
        <w:gridCol w:w="450"/>
        <w:gridCol w:w="2618"/>
        <w:gridCol w:w="2588"/>
        <w:gridCol w:w="3577"/>
      </w:tblGrid>
      <w:tr>
        <w:trPr/>
        <w:tc>
          <w:tcPr>
            <w:tcW w:w="52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(a) Documents filed as part of the report.</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Income for the Years Ended December 31, 2023, 2022, and 2021</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Years Ended December 31, 2023, 2022, and 2021</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Schedule</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 for the Years Ended December 31, 2023, 2022, and 2021</w:t>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28"/>
        <w:gridCol w:w="200"/>
        <w:gridCol w:w="171"/>
        <w:gridCol w:w="109"/>
        <w:gridCol w:w="109"/>
        <w:gridCol w:w="109"/>
        <w:gridCol w:w="3088"/>
        <w:gridCol w:w="2549"/>
        <w:gridCol w:w="3642"/>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Asset Purchase Agreement, by and among Cross Country Healthcare, Inc., Workforce Solutions Group, Inc., Health Talent Strategies, Inc., Talent Strategies, Inc., and Pamela Jung, dated June 8, 2021 (Previously filed as an exhibit to the Company's Form 8-K dated June 14, 2021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the Registrant (Previously filed as an exhibit to the Company’s Registration Statement on Form S-1/A, Commission File No. 333-64914,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Correction to Amended and Restated Certificate of Incorporation of the Registrant (Previously filed as an exhibit to the Company's Form 10-K for the year ended December 31, 2017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the Registrant (Previously filed as an exhibit to the Company's Form 8-K dated December 16, 2022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specimen common stock certificate (Previously filed as an exhibit to the Company’s Registration Statement on Form S-1/A, Commission File No. 333-64914,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2014 Omnibus Incentive Plan - Restricted Stock Agreement Form (Previously filed as an exhibit to the Company’s Form 10-Q for the quarter ended June 30, 2014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2014 Omnibus Incentive Plan - Performance Share and Restricted Stock Agreement Form (Previously filed as an exhibit to the Company’s Form 10-Q for the quarter ended June 30, 2014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Description of the Company's Securities Registered Pursuant to Section 12 of the Securities Exchange Act of 1934 (Previously filed as an exhibit to the Company's Form 10-K for the year ended December 31, 2019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Cross Country, Inc. Deferred Compensation Plan (Previously filed as an exhibit to the Company’s Form 10-K for the year ended December 31, 2002,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Lease Agreement between Cornerstone Opportunity Ventures, LLC and Cejka Search, Inc., dated February 2, 2007 (Previously filed as an exhibit to the Company’s Form 10-K for the year ended December 31, 2006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Second Amendment to Lease Agreement by and between Meridian Commercial Properties Limited Partnership and Cross Country Healthcare, Inc., dated February 17, 2007 (Previously filed as an exhibit to the Company’s Form 10-K for the year ended December 31, 2006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First Amendment to Lease Agreement dated as of September 1, 2007, by and between Cornerstone Opportunity Ventures, LLC and Cejka Search, Inc. (Previously filed as an exhibit to the Company’s Form 10-Q for the quarter ended September 30, 2008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Non-Employee Directors’ Restricted Stock Agreement under Cross Country Healthcare, Inc. 2007 Stock Incentive Plan (Previously filed as an exhibit to the Company’s 8-K dated May 15, 2007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Stock Appreciation Rights Agreement under Cross Country Healthcare, Inc. 2007 Stock Incentive Plan (Previously filed as an exhibit to the Company’s Form 8-K dated October 15, 2007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Lease Agreement, dated July 18, 2013, between Peachtree II and III, LLC and MDA Holdings, Inc. (Previously filed as an exhibit to the Company’s Form 10-Q for the quarter ended June 30, 2013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Amended and Restated Executive Severance Plan of Cross Country Healthcare, Inc. (Previously filed as an exhibit to the Company’s Form 8-K dated May 28, 2010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Fourth Amendment to Lease Agreement by and between Granite Meridian LLC and Cross Country Healthcare, Inc., dated September 29, 2015 (Previously filed as an exhibit to the Company’s Form 8-K dated October 2, 2015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Lease Agreement by and between Mainstreet CV North 40, LLC and Cross Country Healthcare, Inc., dated September 29, 2015 (Previously filed as an exhibit to the Company’s Form 8-K dated October 2, 2015 and incorporated by reference herein.)</w:t>
              </w:r>
            </w:hyperlink>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Asset Purchase Agreement between Mediscan, Inc. and Direct Ed Solutions, Inc. and Mihal Spiegel, dated August 19, 2014 (Previously filed as an exhibit to the Company's Form 8-K dated November 3, 2015 and incorporated by reference herein.)</w:t>
              </w:r>
            </w:hyperlink>
          </w:p>
        </w:tc>
      </w:tr>
      <w:tr>
        <w:trPr/>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Third Amendment to Lease Agreement between RNSI City Place Owner, LLC and Cejka Search, Inc., dated December 2, 2015 (Previously filed as an exhibit to the Company's Form 10-KA for the year ended December 31, 2015 and incorporated by reference herein.)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 (CONTINUED)</w:t>
      </w:r>
    </w:p>
    <w:tbl>
      <w:tblPr>
        <w:tblW w:w="10205" w:type="dxa"/>
        <w:jc w:val="center"/>
        <w:tblInd w:w="0" w:type="dxa"/>
        <w:tblLayout w:type="fixed"/>
        <w:tblCellMar>
          <w:top w:w="28" w:type="dxa"/>
          <w:left w:w="28" w:type="dxa"/>
          <w:bottom w:w="28" w:type="dxa"/>
          <w:right w:w="28" w:type="dxa"/>
        </w:tblCellMar>
      </w:tblPr>
      <w:tblGrid>
        <w:gridCol w:w="223"/>
        <w:gridCol w:w="195"/>
        <w:gridCol w:w="197"/>
        <w:gridCol w:w="109"/>
        <w:gridCol w:w="109"/>
        <w:gridCol w:w="109"/>
        <w:gridCol w:w="3092"/>
        <w:gridCol w:w="2937"/>
        <w:gridCol w:w="2968"/>
        <w:gridCol w:w="109"/>
        <w:gridCol w:w="157"/>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Amendment to Lease agreement between Mainstreet CV North 40, LLC and Cross Country Healthcare, Inc., dated September 19, 2016 (Previously filed as an exhibit to the Company’s Form 10-Q for the quarter ended September 30, 2016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Asset Purchase Agreement, dated June 13, 2017, among Cross Country Healthcare, Inc., as Buyer, Advantage RN, LLC, Advantage On Call, LLC, Advantage Locums, LLC, and Advantage RN Local Staffing, the Seller Parties, and Seller Representative (Previously filed as an exhibit to the Company's Form 8-K dated June 13,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Fourth Amendment to Lease Agreement between RNSI City Place Owner, LLC and Cejka Search, Inc., dated May 31, 2017 (Previously filed as an exhibit to the Company's Form 10-Q for the quarter ended September 30,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Cross Country Healthcare, Inc. Executive Nonqualified Excess Plan Adoption Agreement (Previously filed as an exhibit to the Company's Form 10-K dated December 31, 2017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Employment Agreement between Cross Country Healthcare, Inc. and Kevin C. Clark, dated January 16, 2019 (Previously filed as an exhibit to the Company's Form 8-K dated January 16,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Amendment and Restatement to Employment Agreement, dated January 31, 2019, by and between Cross Country Healthcare, Inc. and William J. Burns (Previously filed as an exhibit to the Company's Form 8-K dated January 31,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ABL Credit Agreement, dated October 25, 2019, by and among Cross Country Healthcare, Inc. and certain of its domestic subsidiaries as borrowers, certain of its domestic subsidiaries as guarantors, the Lenders referenced therein, and Wells Fargo Bank, as agent (Previously filed as an exhibit to the Company's Form 8-K dated October 28, 2019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No. 1 to ABL Credit Agreement, dated as of June 30, 2020, by and among Cross Country Healthcare, Inc. and certain of its domestic subsidiaries as borrowers or guarantors, PNC Bank, N.A., as lender, and Wells Fargo Bank, N.A., as administrative agent, collateral agent, and lender (Previously filed as an exhibit to the Company's Form 8-K dated June 30, 2020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Non-Employee Directors' Restricted Stock Agreement under Cross Country Healthcare, Inc. 2020 Stock Incentive Plan (Previously filed as an exhibit to the Company's Form 10-Q for the quarter ended June 30, 2020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Offer Letter by and between Cross Country Healthcare, Inc. and John Martins (Previously filed as an exhibit to the Company's Form 8-K dated January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Employment Agreement by and between Cross Country Healthcare, Inc. and John Martins (Previously filed as an exhibit to the Company's Form 8-K dated January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Revised Offer Letter by and between Cross Country Healthcare, Inc. and Susan E. Ball, dated as of February 22, 2021 (Previously filed as an exhibit to the Company's Form 10-K filed February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Amendment and Restatement to Employment Agreement, dated February 22, 2021, by and between Cross Country Healthcare, Inc. and William J. Burns (Previously filed as an exhibit to the Company's Form 10-K filed February 25,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Amendment No. 2 to ABL Credit Agreement and Amendment No. 1 to Guaranty and Security Agreement, dated as of March 8, 2021, by and among Cross Country Healthcare, Inc. and certain of its domestic subsidiaries as borrowers or guarantors, PNC Bank N.A., as lender, and Wells Fargo Bank N.A., as administrative agent, collateral agent, and lender (Previously filed as an exhibit to the Company's Form 8-K dated March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Offer Letter by and between Cross Country Healthcare, Inc. and Phillip Noe (Previously filed as an exhibit to the Company's Form 8-K dated May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Employment Agreement by and between Cross Country Healthcare, Inc. and Phillip Noe (Previously filed as an exhibit to the Company's Form 8-K dated May 10,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Term Loan Credit Agreement, by and between Cross Country Healthcare, Inc. and the Lenders as defined therein, dated June 8, 2021 (Previously filed as an exhibit to the Company's Form 8-K dated June 14,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7"/>
        <w:gridCol w:w="206"/>
        <w:gridCol w:w="183"/>
        <w:gridCol w:w="183"/>
        <w:gridCol w:w="183"/>
        <w:gridCol w:w="183"/>
        <w:gridCol w:w="2950"/>
        <w:gridCol w:w="2760"/>
        <w:gridCol w:w="2923"/>
        <w:gridCol w:w="109"/>
        <w:gridCol w:w="158"/>
      </w:tblGrid>
      <w:tr>
        <w:trPr/>
        <w:tc>
          <w:tcPr>
            <w:tcW w:w="3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 (CONTINUED)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Amendment No. 3 to ABL Credit Agreement, by and among Cross Country Healthcare, Inc. and certain of its domestic subsidiaries as borrowers, certain of its domestic subsidiaries as guarantors, the Lenders (as defined therein), and Wells Fargo Bank, National Association as agent dated June 8, 2021 (Previously filed as an exhibit to the Company's Form 8-K dated June 14,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First Incremental Amendment to Term Loan Credit Agreement, by and among Cross Country Healthcare, Inc., the Guarantors (as defined therein), the Lenders (as defined therein), and Wilmington Trust, National Association, dated November 18, 2021 (Previously filed as an exhibit to the Company's Form 8-K dated November 19,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Amendment No. 4 to ABL Credit Agreement, by and among Cross Country Healthcare, Inc. and certain of its domestic subsidiaries as borrowers, certain of its domestic subsidiaries as guarantors, the Lenders (as defined therein), and Wells Fargo Bank, National Association as agent dated November 18, 2021 (Previously filed as an exhibit to the Company's Form 8-K dated November 19, 2021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Letter Agreement, dated as of January 14, 2022, by and between Cross Country Healthcare, Inc. and Kevin C. Clark (Previously filed as an exhibit to the Company's Form 8-K dated January 19,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Employment Agreement, dated as of January 14, 2022, by and between Cross Country Healthcare, Inc. and John A. Martins (Previously filed as an exhibit to the Company's Form 8-K dated January 19,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Amendment No. 5 to ABL Credit Agreement and Amendment No. 2 to Guaranty and Security Agreement, dated as of March 21, 2022, by and among Cross Country Healthcare, Inc. and certain of its domestic subsidiaries as borrowers or guarantors, and Wells Fargo Bank N.A., as administrative agent, collateral agent, and lender (Previously filed as an exhibit to the Company's Form 8-K dated March 22,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Offer Letter by and between Cross Country Healthcare, Inc. and Daniel J. White, dated as of April 5, 2022 (Previously filed as an exhibit to the Company's Form 10-Q for the quarter ended March 31,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Second Amendment to Term Loan Credit Agreement, by and among Cross Country Healthcare, Inc., the Guarantors (as defined therein), the Lenders (as defined therein), and Wilmington Trust, National Association, dated April 14, 2023 (Previously filed as an exhibit to the Company's Form 8-K dated April 18, 2023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Amendment No. 6 to ABL Credit Agreement, dated as of September 29, 2023, by and among Cross Country Healthcare, Inc. and certain of its domestic subsidiaries as borrowers or guarantors, and Wells Fargo Bank National Association, as administrative agent, collateral agent, and lender (Previously filed as an exhibit to the Company's Form 8-K dated October 2, 2023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Code of Ethics, revised November 15, 2021 (Previously filed as an exhibit to the Company's Form 10-K filed February 28, 2022 and incorporated by reference herein.)</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86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21x1.htm">
              <w:r>
                <w:rPr>
                  <w:rStyle w:val="InternetLink"/>
                  <w:rFonts w:ascii="Times New Roman;sans-serif" w:hAnsi="Times New Roman;sans-serif"/>
                  <w:b w:val="false"/>
                  <w:color w:val="0000FF"/>
                  <w:sz w:val="20"/>
                  <w:u w:val="single"/>
                </w:rPr>
                <w:t>List of 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23x1.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31x1.htm">
              <w:r>
                <w:rPr>
                  <w:rStyle w:val="InternetLink"/>
                  <w:rFonts w:ascii="Times New Roman;sans-serif" w:hAnsi="Times New Roman;sans-serif"/>
                  <w:b w:val="false"/>
                  <w:color w:val="0000FF"/>
                  <w:sz w:val="20"/>
                  <w:u w:val="single"/>
                </w:rPr>
                <w:t>Certification Pursuant to Rule 13a-14(a)/15d-14(a) and pursuant to Section 302 of the Sarbanes-Oxley Act of 2002 by John A. Martins, President, Chief Executive Officer, Director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31x2.htm">
              <w:r>
                <w:rPr>
                  <w:rStyle w:val="InternetLink"/>
                  <w:rFonts w:ascii="Times New Roman;sans-serif" w:hAnsi="Times New Roman;sans-serif"/>
                  <w:b w:val="false"/>
                  <w:color w:val="0000FF"/>
                  <w:sz w:val="20"/>
                  <w:u w:val="single"/>
                </w:rPr>
                <w:t>Certification Pursuant to Rule 13a-14(a)/15d-14(a) and pursuant to Section 302 of the Sarbanes-Oxley Act of 2002 by William J. Burns, Executive Vice President, Chief Financial Officer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32x1.htm">
              <w:r>
                <w:rPr>
                  <w:rStyle w:val="InternetLink"/>
                  <w:rFonts w:ascii="Times New Roman;sans-serif" w:hAnsi="Times New Roman;sans-serif"/>
                  <w:b w:val="false"/>
                  <w:color w:val="000080"/>
                  <w:sz w:val="20"/>
                  <w:u w:val="single"/>
                </w:rPr>
                <w:t xml:space="preserve">Certification Pursuant to 18 U.S.C. Section 1350, as adopted pursuant to Section 906 of the Sarbanes-Oxley Act of 2002, by </w:t>
              </w:r>
            </w:hyperlink>
            <w:hyperlink w:anchor="ccrn20231231-10kex32x1.htm">
              <w:r>
                <w:rPr>
                  <w:rStyle w:val="InternetLink"/>
                  <w:rFonts w:ascii="Times New Roman;sans-serif" w:hAnsi="Times New Roman;sans-serif"/>
                  <w:b w:val="false"/>
                  <w:color w:val="000080"/>
                  <w:sz w:val="20"/>
                  <w:u w:val="single"/>
                </w:rPr>
                <w:t>John A. Martins</w:t>
              </w:r>
            </w:hyperlink>
            <w:hyperlink w:anchor="ccrn20231231-10kex32x1.htm">
              <w:r>
                <w:rPr>
                  <w:rStyle w:val="InternetLink"/>
                  <w:rFonts w:ascii="Times New Roman;sans-serif" w:hAnsi="Times New Roman;sans-serif"/>
                  <w:b w:val="false"/>
                  <w:color w:val="000080"/>
                  <w:sz w:val="20"/>
                  <w:u w:val="single"/>
                </w:rPr>
                <w:t xml:space="preserve">, </w:t>
              </w:r>
            </w:hyperlink>
            <w:hyperlink w:anchor="ccrn20231231-10kex32x1.htm">
              <w:r>
                <w:rPr>
                  <w:rStyle w:val="InternetLink"/>
                  <w:rFonts w:ascii="Times New Roman;sans-serif" w:hAnsi="Times New Roman;sans-serif"/>
                  <w:b w:val="false"/>
                  <w:color w:val="000080"/>
                  <w:sz w:val="20"/>
                  <w:u w:val="single"/>
                </w:rPr>
                <w:t xml:space="preserve">President, </w:t>
              </w:r>
            </w:hyperlink>
            <w:hyperlink w:anchor="ccrn20231231-10kex32x1.htm">
              <w:r>
                <w:rPr>
                  <w:rStyle w:val="InternetLink"/>
                  <w:rFonts w:ascii="Times New Roman;sans-serif" w:hAnsi="Times New Roman;sans-serif"/>
                  <w:b w:val="false"/>
                  <w:color w:val="000080"/>
                  <w:sz w:val="20"/>
                  <w:u w:val="single"/>
                </w:rPr>
                <w:t>Chief Executive Officer, Director (Principal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32x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William J. Burns, Executive Vice President, Chief Financial Officer (Principal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rn20231231-10kex97x1.htm">
              <w:r>
                <w:rPr>
                  <w:rStyle w:val="InternetLink"/>
                  <w:rFonts w:ascii="Times New Roman;sans-serif" w:hAnsi="Times New Roman;sans-serif"/>
                  <w:b w:val="false"/>
                  <w:color w:val="0000FF"/>
                  <w:sz w:val="20"/>
                  <w:u w:val="single"/>
                </w:rPr>
                <w:t>Compensation Recoupment (Clawback) Policy</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EXHIBIT INDEX (CONTINUED)</w:t>
      </w:r>
    </w:p>
    <w:p>
      <w:pPr>
        <w:pStyle w:val="TextBody"/>
        <w:bidi w:val="0"/>
        <w:spacing w:before="0" w:after="0"/>
        <w:jc w:val="center"/>
        <w:rPr/>
      </w:pPr>
      <w:r>
        <w:rPr/>
      </w:r>
    </w:p>
    <w:tbl>
      <w:tblPr>
        <w:tblW w:w="8757" w:type="dxa"/>
        <w:jc w:val="center"/>
        <w:tblInd w:w="0" w:type="dxa"/>
        <w:tblLayout w:type="fixed"/>
        <w:tblCellMar>
          <w:top w:w="28" w:type="dxa"/>
          <w:left w:w="28" w:type="dxa"/>
          <w:bottom w:w="28" w:type="dxa"/>
          <w:right w:w="28" w:type="dxa"/>
        </w:tblCellMar>
      </w:tblPr>
      <w:tblGrid>
        <w:gridCol w:w="351"/>
        <w:gridCol w:w="309"/>
        <w:gridCol w:w="315"/>
        <w:gridCol w:w="109"/>
        <w:gridCol w:w="109"/>
        <w:gridCol w:w="109"/>
        <w:gridCol w:w="2177"/>
        <w:gridCol w:w="2177"/>
        <w:gridCol w:w="3101"/>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Represents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616" w:type="dxa"/>
        <w:jc w:val="left"/>
        <w:tblInd w:w="0" w:type="dxa"/>
        <w:tblLayout w:type="fixed"/>
        <w:tblCellMar>
          <w:top w:w="28" w:type="dxa"/>
          <w:left w:w="28" w:type="dxa"/>
          <w:bottom w:w="28" w:type="dxa"/>
          <w:right w:w="28" w:type="dxa"/>
        </w:tblCellMar>
      </w:tblPr>
      <w:tblGrid>
        <w:gridCol w:w="124"/>
        <w:gridCol w:w="109"/>
        <w:gridCol w:w="109"/>
        <w:gridCol w:w="573"/>
        <w:gridCol w:w="573"/>
        <w:gridCol w:w="573"/>
        <w:gridCol w:w="1035"/>
        <w:gridCol w:w="1035"/>
        <w:gridCol w:w="1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John A. Martins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in the capacities indicated and on the dates indicated:</w:t>
      </w:r>
    </w:p>
    <w:p>
      <w:pPr>
        <w:pStyle w:val="TextBody"/>
        <w:bidi w:val="0"/>
        <w:spacing w:lineRule="auto" w:line="288" w:before="0" w:after="0"/>
        <w:jc w:val="both"/>
        <w:rPr>
          <w:color w:val="000000"/>
        </w:rPr>
      </w:pPr>
      <w:r>
        <w:rPr>
          <w:color w:val="000000"/>
        </w:rPr>
        <w:t> </w:t>
      </w:r>
    </w:p>
    <w:tbl>
      <w:tblPr>
        <w:tblW w:w="9203" w:type="dxa"/>
        <w:jc w:val="left"/>
        <w:tblInd w:w="0" w:type="dxa"/>
        <w:tblLayout w:type="fixed"/>
        <w:tblCellMar>
          <w:top w:w="28" w:type="dxa"/>
          <w:left w:w="28" w:type="dxa"/>
          <w:bottom w:w="28" w:type="dxa"/>
          <w:right w:w="28" w:type="dxa"/>
        </w:tblCellMar>
      </w:tblPr>
      <w:tblGrid>
        <w:gridCol w:w="949"/>
        <w:gridCol w:w="836"/>
        <w:gridCol w:w="840"/>
        <w:gridCol w:w="109"/>
        <w:gridCol w:w="109"/>
        <w:gridCol w:w="109"/>
        <w:gridCol w:w="1424"/>
        <w:gridCol w:w="1424"/>
        <w:gridCol w:w="1441"/>
        <w:gridCol w:w="109"/>
        <w:gridCol w:w="109"/>
        <w:gridCol w:w="109"/>
        <w:gridCol w:w="477"/>
        <w:gridCol w:w="477"/>
        <w:gridCol w:w="681"/>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A.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&amp;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V. Redd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&amp;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V. Redd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Dwayne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Dwayne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Venkat Bhamidipati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Venkat Bhamidipati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 Larry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 Larry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C.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C.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Gale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Gale Fitzgerald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Janice E. Nevin, M.D., MPH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Janice E. Nevin, M.D., MPH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Perlberg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Perlberg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00"/>
        <w:gridCol w:w="3062"/>
        <w:gridCol w:w="3071"/>
        <w:gridCol w:w="167"/>
        <w:gridCol w:w="167"/>
        <w:gridCol w:w="238"/>
      </w:tblGrid>
      <w:tr>
        <w:trPr/>
        <w:tc>
          <w:tcPr>
            <w:tcW w:w="350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00">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 34)</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00">
              <w:r>
                <w:rPr>
                  <w:rStyle w:val="InternetLink"/>
                  <w:rFonts w:ascii="Times New Roman;sans-serif" w:hAnsi="Times New Roman;sans-serif"/>
                  <w:b w:val="false"/>
                  <w:color w:val="000080"/>
                  <w:sz w:val="20"/>
                  <w:u w:val="single"/>
                </w:rPr>
                <w:t>2</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03">
              <w:r>
                <w:rPr>
                  <w:rStyle w:val="InternetLink"/>
                  <w:rFonts w:ascii="Times New Roman;sans-serif" w:hAnsi="Times New Roman;sans-serif"/>
                  <w:b w:val="false"/>
                  <w:color w:val="0000FF"/>
                  <w:sz w:val="20"/>
                  <w:u w:val="single"/>
                </w:rPr>
                <w:t>Consolidated Balance Sheets as of December 31, 2023 and 2022</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03">
              <w:r>
                <w:rPr>
                  <w:rStyle w:val="InternetLink"/>
                  <w:rFonts w:ascii="Times New Roman;sans-serif" w:hAnsi="Times New Roman;sans-serif"/>
                  <w:b w:val="false"/>
                  <w:color w:val="000080"/>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c42fc647e479db8e0fe1dbbbace4e_106">
              <w:r>
                <w:rPr>
                  <w:rStyle w:val="InternetLink"/>
                  <w:rFonts w:ascii="Times New Roman;sans-serif" w:hAnsi="Times New Roman;sans-serif"/>
                  <w:b w:val="false"/>
                  <w:color w:val="0000FF"/>
                  <w:sz w:val="20"/>
                  <w:u w:val="single"/>
                </w:rPr>
                <w:t>Consolidated Statements of Operations and Comprehensive Income for the Years Ended December 31, 2023, 2022, and 2021</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06">
              <w:r>
                <w:rPr>
                  <w:rStyle w:val="InternetLink"/>
                  <w:rFonts w:ascii="Times New Roman;sans-serif" w:hAnsi="Times New Roman;sans-serif"/>
                  <w:b w:val="false"/>
                  <w:color w:val="000080"/>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09">
              <w:r>
                <w:rPr>
                  <w:rStyle w:val="InternetLink"/>
                  <w:rFonts w:ascii="Times New Roman;sans-serif" w:hAnsi="Times New Roman;sans-serif"/>
                  <w:b w:val="false"/>
                  <w:color w:val="0000FF"/>
                  <w:sz w:val="20"/>
                  <w:u w:val="single"/>
                </w:rPr>
                <w:t>Consolidated Statements of Stockholders’ Equity for the Years Ended December 31, 2023, 2022, and 2021</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09">
              <w:r>
                <w:rPr>
                  <w:rStyle w:val="InternetLink"/>
                  <w:rFonts w:ascii="Times New Roman;sans-serif" w:hAnsi="Times New Roman;sans-serif"/>
                  <w:b w:val="false"/>
                  <w:color w:val="000080"/>
                  <w:sz w:val="20"/>
                  <w:u w:val="single"/>
                </w:rPr>
                <w:t>6</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12">
              <w:r>
                <w:rPr>
                  <w:rStyle w:val="InternetLink"/>
                  <w:rFonts w:ascii="Times New Roman;sans-serif" w:hAnsi="Times New Roman;sans-serif"/>
                  <w:b w:val="false"/>
                  <w:color w:val="0000FF"/>
                  <w:sz w:val="20"/>
                  <w:u w:val="single"/>
                </w:rPr>
                <w:t>Consolidated Statements of Cash Flows for the Years Ended December 31, 2023, 2022, and 2021</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12">
              <w:r>
                <w:rPr>
                  <w:rStyle w:val="InternetLink"/>
                  <w:rFonts w:ascii="Times New Roman;sans-serif" w:hAnsi="Times New Roman;sans-serif"/>
                  <w:b w:val="false"/>
                  <w:color w:val="000080"/>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15">
              <w:r>
                <w:rPr>
                  <w:rStyle w:val="InternetLink"/>
                  <w:rFonts w:ascii="Times New Roman;sans-serif" w:hAnsi="Times New Roman;sans-serif"/>
                  <w:b w:val="false"/>
                  <w:color w:val="0000FF"/>
                  <w:sz w:val="20"/>
                  <w:u w:val="single"/>
                </w:rPr>
                <w:t>Notes to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F- </w:t>
            </w:r>
            <w:hyperlink w:anchor="i041c42fc647e479db8e0fe1dbbbace4e_115">
              <w:r>
                <w:rPr>
                  <w:rStyle w:val="InternetLink"/>
                  <w:rFonts w:ascii="Times New Roman;sans-serif" w:hAnsi="Times New Roman;sans-serif"/>
                  <w:b w:val="false"/>
                  <w:color w:val="000080"/>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Schedule</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041c42fc647e479db8e0fe1dbbbace4e_172">
              <w:r>
                <w:rPr>
                  <w:rStyle w:val="InternetLink"/>
                  <w:rFonts w:ascii="Times New Roman;sans-serif" w:hAnsi="Times New Roman;sans-serif"/>
                  <w:b w:val="false"/>
                  <w:color w:val="0000FF"/>
                  <w:sz w:val="20"/>
                  <w:u w:val="single"/>
                </w:rPr>
                <w:t>Schedule II – Valuation and Qualifying Accounts for the Years Ended December 31, 2023, 2022, and 2021</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 xml:space="preserve">II- </w:t>
            </w:r>
            <w:hyperlink w:anchor="i041c42fc647e479db8e0fe1dbbbace4e_172">
              <w:r>
                <w:rPr>
                  <w:rStyle w:val="InternetLink"/>
                  <w:rFonts w:ascii="Times New Roman;sans-serif" w:hAnsi="Times New Roman;sans-serif"/>
                  <w:b w:val="false"/>
                  <w:color w:val="000080"/>
                  <w:sz w:val="20"/>
                  <w:u w:val="single"/>
                </w:rPr>
                <w:t>1</w:t>
              </w:r>
            </w:hyperlink>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Schedules not filed herewith are either not applicable, the information is not material, or the information is set forth in the consolidated financial statements or notes thereto.</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shareholders and the Board of Directors of Cross Country Healthcare, Inc.</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Opinions on the Financial Statements </w:t>
      </w:r>
      <w:r>
        <w:rPr>
          <w:rFonts w:ascii="Times New Roman;sans-serif" w:hAnsi="Times New Roman;sans-serif"/>
          <w:b/>
          <w:color w:val="000000"/>
          <w:sz w:val="20"/>
          <w:shd w:fill="FFFFFF" w:val="clear"/>
        </w:rPr>
        <w:t>and Internal Control over Financial Reporting</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Cross Country Healthcare, Inc. and subsidiaries (the "Company") as of December 31, 2023 and 2022, the related consolidated statements of operations and comprehensive income, stockholders' equity, and cash flows, for each of the three years in the period ended December 31, 2023, and the related notes and the schedule listed in the Index at Item 15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Basis for Opinions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lineRule="auto" w:line="288" w:before="0" w:after="160"/>
        <w:jc w:val="left"/>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Calibri Light;sans-serif" w:hAnsi="Calibri Light;sans-serif"/>
          <w:b w:val="false"/>
          <w:color w:val="000000"/>
          <w:sz w:val="22"/>
        </w:rPr>
        <w: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Insurance Claim Liabilities and Insurance Recovery Receivables — Refer to Notes 2 and 7 to the financial statements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workers’ compensation insurance coverage and professional liability coverage for eligible employees. The Company records its estimate of the ultimate cost of, and reserves for, workers' compensation and professional liability benefits based on actuarial models prepared by an independent actuary using the Company’s loss history as well as industry statistics.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insurance claim liabilities and insurance recovery receivables for workers’ compensation coverage and professional liability coverage as a critical audit matter because of the significant assumptions made by management and the specialized actuarial skill and knowledge required to assess the assumptions in estimating the liability and receivables. This required a moderate degree of auditor judgment as well as increased effort, including the involvement of actuarial specialists in performing procedures to evaluate the reasonableness of management’s judgement in estimating the liability and receivable.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insurance claim liabilities and insurance recovery receivables for workers’ compensation coverage and professional liability coverage included the following, among others: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tested the effectiveness of controls related to insurance claim liabilities and insurance recovery receivables, including those over the assumptions used to estimate the insurance claim liabilities and insurance recovery receivables.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tested the underlying data, including historical claims, that served as the basis for the actuarial analysis to test that the inputs to the actuarial estimate were complete and accurate.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With the assistance of our actuarial specialist, we evaluated the reasonableness of the actuarial methods and assumptions used by management to estimate the insurance claim liabilities and insurance recovery receivables by:</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Comparing prior-year assumptions of expected development and ultimate loss to actuals incurred during the current year to identify potential bias in the determination of the insurance claim liabilities and insurance recovery receivables.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Developing an independent range of estimates of the insurance claim liabilities and insurance recovery receivables, utilizing paid and reported loss development factors from the Company’s historical data and industry loss development factors and comparing our estimates to management’s estimates.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Evaluating qualifications of the Company’s actuaries by assessing the certifications and determining whether they meet the Qualification Standards of the American Academy of Actuaries to render the statements of actuarial opinion in their analyses.</w:t>
      </w:r>
    </w:p>
    <w:p>
      <w:pPr>
        <w:pStyle w:val="TextBody"/>
        <w:bidi w:val="0"/>
        <w:spacing w:before="0" w:after="160"/>
        <w:jc w:val="left"/>
        <w:rPr/>
      </w:pPr>
      <w:r>
        <w:rPr/>
      </w:r>
    </w:p>
    <w:tbl>
      <w:tblPr>
        <w:tblW w:w="2637" w:type="dxa"/>
        <w:jc w:val="left"/>
        <w:tblInd w:w="0" w:type="dxa"/>
        <w:tblLayout w:type="fixed"/>
        <w:tblCellMar>
          <w:top w:w="28" w:type="dxa"/>
          <w:left w:w="28" w:type="dxa"/>
          <w:bottom w:w="28" w:type="dxa"/>
          <w:right w:w="28" w:type="dxa"/>
        </w:tblCellMar>
      </w:tblPr>
      <w:tblGrid>
        <w:gridCol w:w="820"/>
        <w:gridCol w:w="720"/>
        <w:gridCol w:w="725"/>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data)</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16"/>
        <w:gridCol w:w="2422"/>
        <w:gridCol w:w="2412"/>
        <w:gridCol w:w="196"/>
        <w:gridCol w:w="736"/>
        <w:gridCol w:w="109"/>
        <w:gridCol w:w="109"/>
        <w:gridCol w:w="109"/>
        <w:gridCol w:w="109"/>
        <w:gridCol w:w="196"/>
        <w:gridCol w:w="736"/>
        <w:gridCol w:w="155"/>
      </w:tblGrid>
      <w:tr>
        <w:trPr/>
        <w:tc>
          <w:tcPr>
            <w:tcW w:w="291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$20,547 in 2023 and $14,696 in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 xml:space="preserve">   </w:t>
            </w:r>
            <w:r>
              <w:rPr>
                <w:rFonts w:ascii="Times New Roman;sans-serif" w:hAnsi="Times New Roman;sans-serif"/>
                <w:b w:val="false"/>
                <w:color w:val="000000"/>
                <w:sz w:val="18"/>
              </w:rPr>
              <w:t>Common stock—$0.0001 par value; 100,000,000 shares authorized; 34,384,905 and 36,302,618 shares issued and outstanding at December 31, 2023 and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947,839 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See accompanying notes</w:t>
      </w:r>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70"/>
        <w:gridCol w:w="1710"/>
        <w:gridCol w:w="1718"/>
        <w:gridCol w:w="211"/>
        <w:gridCol w:w="976"/>
        <w:gridCol w:w="109"/>
        <w:gridCol w:w="109"/>
        <w:gridCol w:w="109"/>
        <w:gridCol w:w="109"/>
        <w:gridCol w:w="211"/>
        <w:gridCol w:w="976"/>
        <w:gridCol w:w="109"/>
        <w:gridCol w:w="109"/>
        <w:gridCol w:w="109"/>
        <w:gridCol w:w="109"/>
        <w:gridCol w:w="211"/>
        <w:gridCol w:w="976"/>
        <w:gridCol w:w="109"/>
        <w:gridCol w:w="109"/>
        <w:gridCol w:w="156"/>
      </w:tblGrid>
      <w:tr>
        <w:trPr/>
        <w:tc>
          <w:tcPr>
            <w:tcW w:w="197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income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lineRule="auto" w:line="288" w:before="0" w:after="0"/>
        <w:jc w:val="both"/>
        <w:rPr>
          <w:color w:val="000000"/>
        </w:rPr>
      </w:pPr>
      <w:r>
        <w:rPr>
          <w:color w:val="000000"/>
        </w:rPr>
        <w:t> </w:t>
      </w:r>
    </w:p>
    <w:tbl>
      <w:tblPr>
        <w:tblW w:w="10646" w:type="dxa"/>
        <w:jc w:val="left"/>
        <w:tblInd w:w="0" w:type="dxa"/>
        <w:tblLayout w:type="fixed"/>
        <w:tblCellMar>
          <w:top w:w="28" w:type="dxa"/>
          <w:left w:w="28" w:type="dxa"/>
          <w:bottom w:w="28" w:type="dxa"/>
          <w:right w:w="28" w:type="dxa"/>
        </w:tblCellMar>
      </w:tblPr>
      <w:tblGrid>
        <w:gridCol w:w="447"/>
        <w:gridCol w:w="354"/>
        <w:gridCol w:w="355"/>
        <w:gridCol w:w="323"/>
        <w:gridCol w:w="323"/>
        <w:gridCol w:w="211"/>
        <w:gridCol w:w="109"/>
        <w:gridCol w:w="109"/>
        <w:gridCol w:w="109"/>
        <w:gridCol w:w="237"/>
        <w:gridCol w:w="291"/>
        <w:gridCol w:w="133"/>
        <w:gridCol w:w="109"/>
        <w:gridCol w:w="109"/>
        <w:gridCol w:w="109"/>
        <w:gridCol w:w="196"/>
        <w:gridCol w:w="736"/>
        <w:gridCol w:w="109"/>
        <w:gridCol w:w="109"/>
        <w:gridCol w:w="109"/>
        <w:gridCol w:w="109"/>
        <w:gridCol w:w="292"/>
        <w:gridCol w:w="851"/>
        <w:gridCol w:w="163"/>
        <w:gridCol w:w="109"/>
        <w:gridCol w:w="109"/>
        <w:gridCol w:w="109"/>
        <w:gridCol w:w="220"/>
        <w:gridCol w:w="843"/>
        <w:gridCol w:w="123"/>
        <w:gridCol w:w="109"/>
        <w:gridCol w:w="109"/>
        <w:gridCol w:w="109"/>
        <w:gridCol w:w="338"/>
        <w:gridCol w:w="747"/>
        <w:gridCol w:w="176"/>
        <w:gridCol w:w="109"/>
        <w:gridCol w:w="109"/>
        <w:gridCol w:w="109"/>
        <w:gridCol w:w="219"/>
        <w:gridCol w:w="824"/>
        <w:gridCol w:w="173"/>
      </w:tblGrid>
      <w:tr>
        <w:trPr/>
        <w:tc>
          <w:tcPr>
            <w:tcW w:w="4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in Subsidiary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2020</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Dissolution of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shareholder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2021</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297,528 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238,357 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473,393 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339"/>
        <w:gridCol w:w="2052"/>
        <w:gridCol w:w="2068"/>
        <w:gridCol w:w="196"/>
        <w:gridCol w:w="646"/>
        <w:gridCol w:w="109"/>
        <w:gridCol w:w="109"/>
        <w:gridCol w:w="109"/>
        <w:gridCol w:w="109"/>
        <w:gridCol w:w="197"/>
        <w:gridCol w:w="746"/>
        <w:gridCol w:w="109"/>
        <w:gridCol w:w="109"/>
        <w:gridCol w:w="109"/>
        <w:gridCol w:w="109"/>
        <w:gridCol w:w="196"/>
        <w:gridCol w:w="736"/>
        <w:gridCol w:w="157"/>
      </w:tblGrid>
      <w:tr>
        <w:trPr/>
        <w:tc>
          <w:tcPr>
            <w:tcW w:w="233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 expense (benefit)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(85,618)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note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Secured Asset-Based revolving credit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Senior Secured Asset-Based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shares withheld for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 and retirement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Nature of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Healthcare, Inc. (the Company) provides total talent management services, including strategic workforce solutions, contingent staffing, permanent placement, and consultative services for healthcare customers. The Company places highly qualified healthcare professionals in virtually every specialty and area of expertise. Its diverse customer base includes both clinical and nonclinical settings, servicing both public and private acute care and non-acute care hospitals, outpatient clinics, ambulatory-care centers,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The consolidated financial statements include the accounts of the Company and its direct and indirect wholly-owned subsidiaries, as well as</w:t>
      </w:r>
      <w:r>
        <w:rPr>
          <w:color w:val="000000"/>
          <w:shd w:fill="FFFFFF" w:val="clear"/>
        </w:rPr>
        <w:t xml:space="preserve"> </w:t>
      </w:r>
      <w:r>
        <w:rPr>
          <w:rFonts w:ascii="Times New Roman;sans-serif" w:hAnsi="Times New Roman;sans-serif"/>
          <w:b w:val="false"/>
          <w:color w:val="000000"/>
          <w:sz w:val="20"/>
          <w:shd w:fill="FFFFFF" w:val="clear"/>
        </w:rPr>
        <w:t xml:space="preserve">Cross Country Talent Acquisition Group, LLC, which was a joint venture controlled by the Company but not wholly owned. The Company recorded the ownership interest of the noncontrolling shareholder as noncontrolling interest in subsidiary. </w:t>
      </w:r>
      <w:r>
        <w:rPr>
          <w:rFonts w:ascii="Times New Roman;sans-serif" w:hAnsi="Times New Roman;sans-serif"/>
          <w:b w:val="false"/>
          <w:color w:val="000000"/>
          <w:sz w:val="20"/>
        </w:rPr>
        <w:t xml:space="preserve">Effective December 31, 2020, the sole professional staffing services agreement held by this joint venture was terminated and, as a result, the Company dissolved Cross Country Talent Acquisition Group, LLC in the third quarter of 2021.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ll intercompany transactions and balances have been eliminated in consolidation.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Certain prior year amounts have been reclassified to conform to the current year presentation.</w:t>
      </w:r>
      <w:r>
        <w:rPr>
          <w:color w:val="000000"/>
          <w:shd w:fill="FFFFFF" w:val="clear"/>
        </w:rPr>
        <w:t xml:space="preserve"> </w:t>
      </w:r>
      <w:r>
        <w:rPr>
          <w:rFonts w:ascii="Times New Roman;sans-serif" w:hAnsi="Times New Roman;sans-serif"/>
          <w:b w:val="false"/>
          <w:color w:val="000000"/>
          <w:sz w:val="20"/>
          <w:shd w:fill="FFFFFF" w:val="clear"/>
        </w:rPr>
        <w:t>See the consolidated balance sheets and statements of operations and comprehensive income, Note 5 - Goodwill, Trade Names, and Other Intangible Assets, Note 7 - Balance Sheet Details, and Note 17 - Segment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w:t>
      </w:r>
      <w:r>
        <w:rPr>
          <w:color w:val="000000"/>
          <w:shd w:fill="FFFFFF" w:val="clear"/>
        </w:rPr>
        <w:t xml:space="preserve"> </w:t>
      </w:r>
      <w:r>
        <w:rPr>
          <w:rFonts w:ascii="Times New Roman;sans-serif" w:hAnsi="Times New Roman;sans-serif"/>
          <w:b w:val="false"/>
          <w:color w:val="000000"/>
          <w:sz w:val="20"/>
          <w:shd w:fill="FFFFFF" w:val="clear"/>
        </w:rPr>
        <w:t>(i)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w:t>
      </w:r>
      <w:r>
        <w:rPr>
          <w:rFonts w:ascii="Times New Roman;sans-serif" w:hAnsi="Times New Roman;sans-serif"/>
          <w:b w:val="false"/>
          <w:color w:val="000000"/>
          <w:sz w:val="20"/>
        </w:rPr>
        <w:t>.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and Cash Equivalents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investments with original maturities of three months or less to be cash and cash equivalents. Interest income on cash and cash equivalents was immaterial for the years ended December 31, 2023, 2022, and 2021, and is included in other income (expense), net, in the consolidated statements of operations and comprehensive income.</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Accounts Receivable, Allowance for Doubtful Accounts, and Concentration of Credit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potentially subject the Company to concentrations of credit risk. 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doubtful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opening balance of the allowance for doubtful accounts is reconciled to the closing balance for expected credit losses as follows:</w:t>
      </w:r>
    </w:p>
    <w:p>
      <w:pPr>
        <w:pStyle w:val="TextBody"/>
        <w:bidi w:val="0"/>
        <w:spacing w:before="0" w:after="0"/>
        <w:jc w:val="left"/>
        <w:rPr/>
      </w:pPr>
      <w:r>
        <w:rPr/>
      </w:r>
    </w:p>
    <w:tbl>
      <w:tblPr>
        <w:tblW w:w="5021" w:type="dxa"/>
        <w:jc w:val="left"/>
        <w:tblInd w:w="0" w:type="dxa"/>
        <w:tblLayout w:type="fixed"/>
        <w:tblCellMar>
          <w:top w:w="28" w:type="dxa"/>
          <w:left w:w="28" w:type="dxa"/>
          <w:bottom w:w="28" w:type="dxa"/>
          <w:right w:w="28" w:type="dxa"/>
        </w:tblCellMar>
      </w:tblPr>
      <w:tblGrid>
        <w:gridCol w:w="1047"/>
        <w:gridCol w:w="921"/>
        <w:gridCol w:w="926"/>
        <w:gridCol w:w="211"/>
        <w:gridCol w:w="721"/>
        <w:gridCol w:w="109"/>
        <w:gridCol w:w="211"/>
        <w:gridCol w:w="721"/>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1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allowance for doubtful accounts, the Company maintains a sales allowance for billing-related adjustments which may arise in the ordinary course of business and adjustments to the reserve are recorded as contra-revenue. The sales allowance balance as of December 31, 2023 and December 31, 2022 was $0.9 million and $1.6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years ended December 31, 2023, 2022, and 2021, or accounts receivable balance as of December 31, 2023 and 2022. In 2023 there was an</w:t>
      </w:r>
      <w:r>
        <w:rPr>
          <w:color w:val="000000"/>
        </w:rPr>
        <w:t xml:space="preserve"> </w:t>
      </w:r>
      <w:r>
        <w:rPr>
          <w:rFonts w:ascii="Times New Roman;sans-serif" w:hAnsi="Times New Roman;sans-serif"/>
          <w:b w:val="false"/>
          <w:color w:val="000000"/>
          <w:sz w:val="20"/>
        </w:rPr>
        <w:t>increase in bad debt expense primarily driven by a deterioration in our accounts receivable aging stemming from a single MSP customer. Although the Company expects to recover the remaining balance, further reserves may be required in the event this customer does not continue making payments or experiences a material deterioration in their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Property and Equipment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Depreciation is determined on a straight-line basis over the estimated useful lives of the assets, which generally range from one to ten years. Leasehold improvements are depreciated over the shorter of 10 years or the term of the individual lease. On an annual basis, the Company reviews its property and equipment listings and disposes of assets that are no longer in use.</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software development costs have been capitalized. Such costs include charges for consulting services and costs for Company personnel associated with programming, coding, and testing such software. Amortization of capitalized software costs is included in depreciation and amortization expense in the consolidated statements of operations and comprehensive income and begins when the software is ready for use. See Note 6 -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Cloud Computing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Implementation costs associated with cloud computing arrangements are capitalized when incurred during the application development phase. In connection with the licensing of software products, the Company has entered into arrangements in which it does not take possession of the software; rather, the software application resides on the vendor's or a third-party's hardware, and the Company accesses and uses the software on an as-needed basis over the Internet or via a dedicated line. Therefore, the cloud computing arrangement does not give rise to an intangible asset. Costs are capitalized in accordance with the Company’s policies for other capitalizable service costs. Amortization is calculated over the contractual term of the cloud computing arrangement and is included in selling, general and administrative expenses in the consolidated statements of operations and comprehensive income. As of December 31, 2023 and 2022, the Company has a current asset of $0.5 million included in prepaid expenses and a non-current asset of $6.0 million and $4.5 million, respectively, included in cloud computing in the consolidated balance sheets that have been capitalized in conjunction with implementations. Amortization of the cloud computing assets was $0.5 million, $0.6 million, and $0.4 million for the years ended December 31,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arrangement constitutes a lease at commencement. Operating leases are included in operating lease right-of-use assets, operating lease liabilities - current, and operating lease liabilities - non-current in the consolidated balance sheets. Finance leases are included in other assets, other current liabilities, and other liabilities in the consolidated balance sheets. See Note 9 -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the Company.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and comprehensive income. Rent expense for operating lease payments is recognized on a straight-line basis over the lease term. The Company does not assume renewals or early terminations unless it is reasonably certain to exercise these options at commencement. The Company has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 and comprehensive income.</w:t>
      </w:r>
    </w:p>
    <w:p>
      <w:pPr>
        <w:pStyle w:val="TextBody"/>
        <w:bidi w:val="0"/>
        <w:spacing w:lineRule="auto" w:line="288" w:before="180" w:after="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Business Combinations</w:t>
      </w:r>
    </w:p>
    <w:p>
      <w:pPr>
        <w:pStyle w:val="TextBody"/>
        <w:bidi w:val="0"/>
        <w:spacing w:lineRule="auto" w:line="288" w:before="0" w:after="0"/>
        <w:jc w:val="left"/>
        <w:rPr/>
      </w:pPr>
      <w:r>
        <w:rPr>
          <w:rFonts w:ascii="Times New Roman;sans-serif" w:hAnsi="Times New Roman;sans-serif"/>
          <w:b w:val="false"/>
          <w:color w:val="000000"/>
          <w:sz w:val="20"/>
        </w:rPr>
        <w:t xml:space="preserve">Historically, business combinations have been accounted for at fair value using the acquisition method of accounting. Effective January 1, 2023, the Company accounts for business combinations in accordance with updated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Topic 805. Contract assets and contract liabilities acquired in a business combination are recognized in accordance with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Topic 606. At the acquisition date, related revenue contracts with customers are accounted for as if the Company had originated the contracts. The acquired contract assets and liabilities are recognized and measured consistent with how they were recognized and measured in the acquiree's financial statements, if those financial statements were prepared in accordance with GAAP. Contract assets and contract liabilities from other contracts to which Topic 606 applies are similarly recognized and measured. In circumstances where it is unable to assess whether the financial statements were prepared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accordance with GAAP, the Company considers contract terms and specifications to determine what should be recorded at the acquisition date. Other assets or liabilities that arise from revenue contracts with customers in accordance with Topic 606 are accounted for at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associated acquisition costs are expensed as incurred and recorded as acquisition and integration-related costs. Restructuring costs associated with a business combination are expensed. The results of the acquired businesses' operations are included in the consolidated statements of operations and comprehensive income of the combined entity beginning on the date of acquisition.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Trade Names, and Other Intangible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1 to 16 years. Goodwill and certain intangible assets with indefinite lives are not amortized. Instead, these assets are reviewed for impairment annually at the beginning of the fourth quarter, and whenever circumstances change that would more likely than not reduce the fair value of a reporting unit below its carrying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measures the fair value of its reporting units using a combination of income and market approaches.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The Company performs its annual review on October 1</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If the quantitative analysis is performed and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tax-deductible goodwill on the carrying amount of the reporting unit when measuring the goodwill impairment loss is considered, if applicable.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reporting units by identifying its operating segments and any component businesses and aggregates the component businesses if they have similar economic characteristics.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and identifiable intangible assets with definite lives are evaluated for impairment. Long-lived assets and definite-lived intangible assets are reviewed for impairment whenever events or changes in circumstances indicate the carrying amount may not be recoverable.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Any related impairment losses are recognized in earnings and included in the caption impairment charges in the consolidated statements of operations and comprehensive income. See Note 5 - Goodwill, Trade Names, and Other Intangible Assets.</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Debt Discount and Debt Issuance Costs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Stated discounts on proceeds and other fees reimbursed to lenders were treated as a discount associated with the respective debt instrument and presented in the balance sheet as an offset to the carrying amount of the debt. Debt issuance costs associated with the revolving line-of-credit are presented as an asset, included in other assets on the balance sheet. Discounts are amortized to interest expense using the effective interest rate method, or a method that approximates the effective interest rate method, over the expected life of the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Sales and Other State Non-Income Tax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sales and other state non-income tax filings are subject to routine audits by authorities in the jurisdictions where it conducts business in the United States which may result in assessments of additional taxes. 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comprehensive income and the liability is reflected in sales tax payable within other current liabilities in the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Insurance Claims</w:t>
      </w:r>
      <w:r>
        <w:rPr>
          <w:color w:val="000000"/>
          <w:shd w:fill="FFFFFF" w:val="clear"/>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2023 and 2022 reflect the related short-term liabilities in accrued compensation and benefits and the related</w:t>
      </w:r>
      <w:r>
        <w:rPr>
          <w:color w:val="000000"/>
        </w:rPr>
        <w:t> </w:t>
      </w:r>
      <w:r>
        <w:rPr>
          <w:rFonts w:ascii="Times New Roman;sans-serif" w:hAnsi="Times New Roman;sans-serif"/>
          <w:b w:val="false"/>
          <w:color w:val="000000"/>
          <w:sz w:val="20"/>
        </w:rPr>
        <w:t>long-term liabilities as accrued claims, and the short-term and long-term receivable portion as insurance recovery receivable - current and insurance recovery receivable - non-current, respectively.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 benefits are provided under a partially self-insured plan. The Company has letters of credit to guarantee payments of claims. At December 31, 2023 and 2022, the Company had outstanding approximately $13.5 million and $17.7 million, respectively, of standby letters of credit as collateral to secure the self-insured portion of this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Company has claims-made primary professional liability policies that provide the Company and each working professional in its nurse and allied healthcare business with coverage. The Company has a claims-made professional liability policy for its physicians and advanced practitioners. At December 31, 2023 and 2022, the Company had outstanding $0.3 million and $0.4 million, respectively, of standby letters of credit as collateral to secure reimbursement of expenses under the existing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Revenue Recognition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Revenue</w:t>
      </w:r>
      <w:r>
        <w:rPr>
          <w:color w:val="000000"/>
        </w:rPr>
        <w:t xml:space="preserve"> </w:t>
      </w:r>
      <w:r>
        <w:rPr>
          <w:rFonts w:ascii="Times New Roman;sans-serif" w:hAnsi="Times New Roman;sans-serif"/>
          <w:b w:val="false"/>
          <w:color w:val="000000"/>
          <w:sz w:val="20"/>
        </w:rPr>
        <w:t>from the Company’s services is recognized when control of the promised services is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nature, amount, timing, and uncertainty of revenue and cash flows from which the Company generates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Temporary Staffing Revenue</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2023 and 2022, the Company's estimate of amounts that had been worked but had not been billed totaled $89.9 million and $152.4 million, respectively, and are included in accounts receivable in the consolidated balance sheets.</w:t>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Services Revenue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2023, 2022, and 2021. Generally, billing and payment terms for MSP agency services are consistent with temporary staffing as the customers are similar or the same. Revenue from these services is recognized based on the contractual amount for services completed to date which best depicts the transfer of control of services. The Company does not, in the ordinary course of business, offer warranties or refunds.</w:t>
      </w:r>
    </w:p>
    <w:p>
      <w:pPr>
        <w:pStyle w:val="TextBody"/>
        <w:bidi w:val="0"/>
        <w:spacing w:before="0" w:after="0"/>
        <w:jc w:val="left"/>
        <w:rPr/>
      </w:pPr>
      <w:r>
        <w:rPr/>
      </w:r>
    </w:p>
    <w:p>
      <w:pPr>
        <w:pStyle w:val="TextBody"/>
        <w:bidi w:val="0"/>
        <w:spacing w:lineRule="auto" w:line="417"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Versus Net Policies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revenue on a gross basis as a principal or on a net basis as an agent depending on the contracted arrangement, as follows:</w:t>
      </w:r>
    </w:p>
    <w:p>
      <w:pPr>
        <w:pStyle w:val="TextBody"/>
        <w:bidi w:val="0"/>
        <w:spacing w:lineRule="auto" w:line="417"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Managed Service Programs (MSP)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its healthcare professional is staffed, the Company determined that it acts as a principal in the arrangement, as it is considered the employer of record. Accordingly, revenue is reported on a gross basis in the consolidated statements of operations and comprehensive income.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and comprehensive income. The customer is invoiced for the hours worked by the subcontracted healthcare professional multiplied by the hourly bill rate. A subcontractor liability is recognized as a reduction of revenue,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pStyle w:val="TextBody"/>
        <w:bidi w:val="0"/>
        <w:spacing w:lineRule="auto" w:line="417"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Physician Staffing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 and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 Revenue Recognition for the Company’s revenues disaggregated by revenue source. Sales and usage-based taxes are excluded from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contract fulfillment costs are expensed as incurred to direct operating expenses. There were no contract assets or material contract liabilities as of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stock awards to certain key personnel pursuant to its 2014 Omnibus Incentive Plan, amended and restated on May 23, 2017 (2017 Plan), and replaced by the 2020 Omnibus Incentive Plan, effective for awards granted after May 19, 2020, as described in Note 14 - Stockholders' Equity. Pursuant to the plans,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Compensation expense related to share-based payments is included in selling, general and administrative expenses in the consolidated statements of operations and comprehensive income, and totaled $6.6 million, $7.4 million, and $6.9 million during the years ended December 31, 2023, 2022, and 2021, respectively. See Note 14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Stockholders’ Equity.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Advertising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advertising expense consists of programmatic advertising, display, search, internet, social media, video, and promotional aids and materials. Advertising costs are expensed as incurred and totaled $11.5 million, $16.1 million, and $9.5 million for the years ended December 31, 2023, 2022, and 2021, respectively, and are included in selling, general and administrative expenses in the consolidated statements of operations and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Restructuring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and comprehensive income primarily include employee termination costs and lease-related exit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the employee termination costs and lease-related exit costs beginning and ending liability balance is presented below:</w:t>
      </w:r>
    </w:p>
    <w:tbl>
      <w:tblPr>
        <w:tblW w:w="10205" w:type="dxa"/>
        <w:jc w:val="center"/>
        <w:tblInd w:w="0" w:type="dxa"/>
        <w:tblLayout w:type="fixed"/>
        <w:tblCellMar>
          <w:top w:w="28" w:type="dxa"/>
          <w:left w:w="28" w:type="dxa"/>
          <w:bottom w:w="28" w:type="dxa"/>
          <w:right w:w="28" w:type="dxa"/>
        </w:tblCellMar>
      </w:tblPr>
      <w:tblGrid>
        <w:gridCol w:w="586"/>
        <w:gridCol w:w="361"/>
        <w:gridCol w:w="363"/>
        <w:gridCol w:w="357"/>
        <w:gridCol w:w="789"/>
        <w:gridCol w:w="185"/>
        <w:gridCol w:w="315"/>
        <w:gridCol w:w="920"/>
        <w:gridCol w:w="163"/>
        <w:gridCol w:w="109"/>
        <w:gridCol w:w="109"/>
        <w:gridCol w:w="109"/>
        <w:gridCol w:w="357"/>
        <w:gridCol w:w="789"/>
        <w:gridCol w:w="185"/>
        <w:gridCol w:w="315"/>
        <w:gridCol w:w="920"/>
        <w:gridCol w:w="163"/>
        <w:gridCol w:w="109"/>
        <w:gridCol w:w="109"/>
        <w:gridCol w:w="109"/>
        <w:gridCol w:w="357"/>
        <w:gridCol w:w="789"/>
        <w:gridCol w:w="185"/>
        <w:gridCol w:w="310"/>
        <w:gridCol w:w="906"/>
        <w:gridCol w:w="236"/>
      </w:tblGrid>
      <w:tr>
        <w:trPr/>
        <w:tc>
          <w:tcPr>
            <w:tcW w:w="5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restructuring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and adjustments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are determined based upon differences between the financial reporting and tax basis of assets and liabilities, and are measured using the enacted tax rates and laws that will be in effect when the differences are expected to reverse.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See Note 13 -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Comprehensive Income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includes net income or loss and foreign currency translation adjustments, net of any related deferred taxes, and is included within the accompanying consolidated statements of operations and comprehensive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an unrealized loss of $1.5 million at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impact related to components of other comprehensive income for the years ended December 31, 2023, 2022 and 2021 is included in unrealized foreign currency translation income (loss), net of tax in the consolidated statements of operations and comprehensive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Fair Value Measurements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 (FASB) guidance defines fair value, establishes a framework for measuring fair value under U.S. GAAP, and expands disclosures about fair value measurements. The Company’s financial assets and liabilities required to be measured at fair value on a recurring basis were its: (i) deferred compensation asset and (ii) deferred compensation liability as of December 31, 2023. See Note 10 - 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available to common stockholders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See Note 15 -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Adopted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October 28, 2021, the FASB issued Accounting Standards Update (ASU) No. 2021-08, </w:t>
      </w:r>
      <w:r>
        <w:rPr>
          <w:rFonts w:ascii="Times New Roman;sans-serif" w:hAnsi="Times New Roman;sans-serif"/>
          <w:b w:val="false"/>
          <w:i/>
          <w:color w:val="000000"/>
          <w:sz w:val="20"/>
          <w:shd w:fill="FFFFFF" w:val="clear"/>
        </w:rPr>
        <w:t>Business Combinations (Topic 805): Accounting for Contract Assets and Contract Liabilities from Contracts with Customers</w:t>
      </w:r>
      <w:r>
        <w:rPr>
          <w:rFonts w:ascii="Times New Roman;sans-serif" w:hAnsi="Times New Roman;sans-serif"/>
          <w:b w:val="false"/>
          <w:color w:val="000000"/>
          <w:sz w:val="20"/>
          <w:shd w:fill="FFFFFF" w:val="clear"/>
        </w:rPr>
        <w:t xml:space="preserve">, which requires contract assets and contract liabilities such as deferred revenue acquired in a business combination to be recognized and measured by the acquirer on the acquisition date in accordance with ASC 606, </w:t>
      </w:r>
      <w:r>
        <w:rPr>
          <w:rFonts w:ascii="Times New Roman;sans-serif" w:hAnsi="Times New Roman;sans-serif"/>
          <w:b w:val="false"/>
          <w:i/>
          <w:color w:val="000000"/>
          <w:sz w:val="20"/>
          <w:shd w:fill="FFFFFF" w:val="clear"/>
        </w:rPr>
        <w:t>Revenue from Contracts with Customers</w:t>
      </w:r>
      <w:r>
        <w:rPr>
          <w:rFonts w:ascii="Times New Roman;sans-serif" w:hAnsi="Times New Roman;sans-serif"/>
          <w:b w:val="false"/>
          <w:color w:val="000000"/>
          <w:sz w:val="20"/>
          <w:shd w:fill="FFFFFF" w:val="clear"/>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adopted this standard in the first quarter of 2023 and will apply the guidance to future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December 14,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Early adoption is permitted for annual financial statements that have not yet been issued or made available for issuance. The Company expects to adopt this standard for its fiscal year ended December 31, 2025. The Company expects this ASU to only impact its disclosures with no impacts to results of operations, cash flows,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November 27, 2023, the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This guidance is effective for fiscal years beginning after December 15, 2023, and interim periods within fiscal years beginning after December 15, 2024. The amendments should be applied retrospectively to all prior periods presented in the financial statements. Early adoption is permitted. The Company expects to adopt this standard for its fiscal year ended December 31, 2024. The Company expects this ASU to only impact its disclosures with no impacts to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F- 16</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6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from customer contracts are generated from temporary staffing services and other services. Revenue is disaggregated by segment in the following table. See Note 2 - Summary of Significant Accounting Policies.</w:t>
      </w:r>
    </w:p>
    <w:tbl>
      <w:tblPr>
        <w:tblW w:w="6966" w:type="dxa"/>
        <w:jc w:val="left"/>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826"/>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66" w:type="dxa"/>
        <w:jc w:val="center"/>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826"/>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61" w:type="dxa"/>
        <w:jc w:val="center"/>
        <w:tblInd w:w="0" w:type="dxa"/>
        <w:tblLayout w:type="fixed"/>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721"/>
        <w:gridCol w:w="109"/>
        <w:gridCol w:w="109"/>
        <w:gridCol w:w="109"/>
        <w:gridCol w:w="109"/>
        <w:gridCol w:w="229"/>
        <w:gridCol w:w="1059"/>
        <w:gridCol w:w="16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150"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150"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1,676,652 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17 - Segment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HireUp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2022, the Company purchased and acquired substantially all of the assets and assumed certain liabilities of HireUp Leadership Inc. (HireUp) for a purchase price of $6.0 million in cash, subject to adjustment, and $0.8 million in shares (or 29,811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were eligible to receive up to an additional $8.0 million total in earnout cash consideration based on HireUp's revenues and Adjusted EBITDA for each of the twelve-month periods ending on the first and second anniversaries of the first day after the closing date. Quarterly throughout 2023, the Company performed analyses using multiple updated forecast scenarios and determined that the earnout would only be partially achieved. As a result, the Company recognized a decrease in the fair value of the related liabilities in the second and third quarters of 2023. The liability of $1.9 million is included in the current portion of earnout liability on the consolidated balance sheets. See Note 10 - 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 (iii) $3.5 million to a database with a weighted average estimated useful life of 7 years, for a total of $6.9 million in definite life intangible assets with a weighted average estimated useful life of 7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excess purchase price over the fair value of net assets acquired of $1.6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Mint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sellers are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the earnout calculation for the first measurement period, resulting in an earnout of $4.9 million, which is included in the current portion of earnout liability, and the long-term portion of the liability of $5.0 million is included in the non-current portion of earnout liability on the consolidated balance sheets. The earnout for the first measurement period was paid in the first quarter of 2024. See Note 10 -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 (iii) $12.4 million to a database with a weighted average estimated useful life of 7 years, for a total of $15.1 million in definite life intangible assets with a weighted average estimated useful life of 7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excess purchase price over the fair value of net assets acquired of $20.1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Local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purchased and acquired certain assets and assumed certain liabilities of an Ohio based business for a purchase price of $2.0 million in cash, subject to customary post-closing adjustments.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an immaterial amount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acquisitions made in 2022, HireUp, Mint,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sellers were eligible to receive up to an additional $1.5 million in earnout cash consideration, based on Selected's revenues for each of the twelve-month periods ending on the first and second anniversaries of the first day after the closing date.</w:t>
      </w:r>
      <w:r>
        <w:rPr>
          <w:color w:val="000000"/>
          <w:shd w:fill="FFFFFF" w:val="clear"/>
        </w:rPr>
        <w:t xml:space="preserve"> </w:t>
      </w:r>
      <w:r>
        <w:rPr>
          <w:rFonts w:ascii="Times New Roman;sans-serif" w:hAnsi="Times New Roman;sans-serif"/>
          <w:b w:val="false"/>
          <w:color w:val="000000"/>
          <w:sz w:val="20"/>
          <w:shd w:fill="FFFFFF" w:val="clear"/>
        </w:rPr>
        <w:t>In the second quarter of 2022, the Company determined that the contingent consideration earnout related to the Selected acquisition would not be achieved for 2022 and 2023 and, as a result, the entire liability was reversed.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quarter ended June 30, 2022, 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excess purchase price over the fair value of net assets acquired of $0.4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Cross Country Workforce Solutions Group (CCWSG)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Included in the amount paid at closing and held in an escrow account was $2.0 million related to potential wage and hour indemnification claims. On December 16, 2022, this amount was released from escrow to the seller. The transaction was treated as a purchase of assets for income tax purposes.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sellers were eligible to receive an earnout based on the business’ performance through three years after the acquisition date that could provide up to an additiona</w:t>
      </w:r>
      <w:r>
        <w:rPr>
          <w:rFonts w:ascii="Times New Roman;sans-serif" w:hAnsi="Times New Roman;sans-serif"/>
          <w:b w:val="false"/>
          <w:color w:val="000000"/>
          <w:sz w:val="20"/>
          <w:shd w:fill="FFFFFF" w:val="clear"/>
        </w:rPr>
        <w:t>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 See Note 10 - Fair Value Measurements.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assets acquired and liabilities assumed on June 8, 2021:</w:t>
      </w:r>
    </w:p>
    <w:p>
      <w:pPr>
        <w:pStyle w:val="TextBody"/>
        <w:bidi w:val="0"/>
        <w:spacing w:before="0" w:after="0"/>
        <w:jc w:val="left"/>
        <w:rPr/>
      </w:pPr>
      <w:r>
        <w:rPr/>
      </w:r>
    </w:p>
    <w:tbl>
      <w:tblPr>
        <w:tblW w:w="5414" w:type="dxa"/>
        <w:jc w:val="left"/>
        <w:tblInd w:w="0" w:type="dxa"/>
        <w:tblLayout w:type="fixed"/>
        <w:tblCellMar>
          <w:top w:w="28" w:type="dxa"/>
          <w:left w:w="28" w:type="dxa"/>
          <w:bottom w:w="28" w:type="dxa"/>
          <w:right w:w="28" w:type="dxa"/>
        </w:tblCellMar>
      </w:tblPr>
      <w:tblGrid>
        <w:gridCol w:w="1222"/>
        <w:gridCol w:w="1073"/>
        <w:gridCol w:w="1079"/>
        <w:gridCol w:w="396"/>
        <w:gridCol w:w="1355"/>
        <w:gridCol w:w="289"/>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 current</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 non-current</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29,334 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2021, the Company assigned a value to other identifiable intangible assets of $14.2 million in customer relationships with a weighted average estimated useful life of 11.5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excess purchase price over the fair value of net assets acquired of $22.1 million was recorded as goodwill on the Company's consolidated balance sheets. See Note 5 -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associated with the Company's acquisitions of $1.1 million for the year ended December 31, 2021, and an immaterial amount for the years ended December 31, 2023 and 2022, have been included in selling, general and administrative expenses on its consolidated statements of operations and comprehensive income.</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Mediscan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2020, the Company entered into a note payable of $7.3 million related to contingent consideration assumed as part of the Mediscan acquisition, payable in three installments. The first two installments of $2.4 million each were paid in the second quarter of 2020 and in the first quarter of 2021, respectively. The third and final installment of $2.6 million, including interest, was paid in the first quarter of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Trade Names, and Other Intangible Assets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acquired intangible assets:</w:t>
      </w:r>
    </w:p>
    <w:tbl>
      <w:tblPr>
        <w:tblW w:w="10205" w:type="dxa"/>
        <w:jc w:val="left"/>
        <w:tblInd w:w="0" w:type="dxa"/>
        <w:tblLayout w:type="fixed"/>
        <w:tblCellMar>
          <w:top w:w="28" w:type="dxa"/>
          <w:left w:w="28" w:type="dxa"/>
          <w:bottom w:w="28" w:type="dxa"/>
          <w:right w:w="28" w:type="dxa"/>
        </w:tblCellMar>
      </w:tblPr>
      <w:tblGrid>
        <w:gridCol w:w="651"/>
        <w:gridCol w:w="553"/>
        <w:gridCol w:w="558"/>
        <w:gridCol w:w="211"/>
        <w:gridCol w:w="826"/>
        <w:gridCol w:w="109"/>
        <w:gridCol w:w="109"/>
        <w:gridCol w:w="109"/>
        <w:gridCol w:w="109"/>
        <w:gridCol w:w="252"/>
        <w:gridCol w:w="862"/>
        <w:gridCol w:w="132"/>
        <w:gridCol w:w="109"/>
        <w:gridCol w:w="109"/>
        <w:gridCol w:w="109"/>
        <w:gridCol w:w="211"/>
        <w:gridCol w:w="721"/>
        <w:gridCol w:w="109"/>
        <w:gridCol w:w="109"/>
        <w:gridCol w:w="109"/>
        <w:gridCol w:w="109"/>
        <w:gridCol w:w="211"/>
        <w:gridCol w:w="721"/>
        <w:gridCol w:w="109"/>
        <w:gridCol w:w="109"/>
        <w:gridCol w:w="109"/>
        <w:gridCol w:w="109"/>
        <w:gridCol w:w="252"/>
        <w:gridCol w:w="862"/>
        <w:gridCol w:w="132"/>
        <w:gridCol w:w="109"/>
        <w:gridCol w:w="109"/>
        <w:gridCol w:w="109"/>
        <w:gridCol w:w="211"/>
        <w:gridCol w:w="721"/>
        <w:gridCol w:w="156"/>
      </w:tblGrid>
      <w:tr>
        <w:trPr/>
        <w:tc>
          <w:tcPr>
            <w:tcW w:w="6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3" w:type="dxa"/>
            <w:gridSpan w:val="3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r>
      <w:tr>
        <w:trPr/>
        <w:tc>
          <w:tcPr>
            <w:tcW w:w="448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fully amortized intangible assets of $3.4 million related to databases, and immaterial amounts related to non-compete agreements and trade names, along with the related accumulated amortization, were removed from the table above.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annual amortization expense was as follows:</w:t>
      </w:r>
    </w:p>
    <w:tbl>
      <w:tblPr>
        <w:tblW w:w="4304" w:type="dxa"/>
        <w:jc w:val="left"/>
        <w:tblInd w:w="0" w:type="dxa"/>
        <w:tblLayout w:type="fixed"/>
        <w:tblCellMar>
          <w:top w:w="28" w:type="dxa"/>
          <w:left w:w="28" w:type="dxa"/>
          <w:bottom w:w="28" w:type="dxa"/>
          <w:right w:w="28" w:type="dxa"/>
        </w:tblCellMar>
      </w:tblPr>
      <w:tblGrid>
        <w:gridCol w:w="902"/>
        <w:gridCol w:w="793"/>
        <w:gridCol w:w="795"/>
        <w:gridCol w:w="352"/>
        <w:gridCol w:w="1205"/>
        <w:gridCol w:w="257"/>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48,568 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Trade Names, and Other Intangible Assets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 are as follows: </w:t>
      </w:r>
    </w:p>
    <w:tbl>
      <w:tblPr>
        <w:tblW w:w="7436"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721"/>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to aggregate goodwill in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acquisition adjustments</w:t>
            </w:r>
            <w:r>
              <w:rPr>
                <w:rFonts w:ascii="Times New Roman;sans-serif" w:hAnsi="Times New Roman;sans-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Represents adjustments to the fair value of the identifiable net assets acquired, with a corresponding offset to goodwill, made during the measurement periods related to the acquisitions of HireUp, Mint, and a local business. The measurement periods have concluded, and no further adjustments are anticipated.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Trade Names, and Other Intangible Assets Impairment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its annual quantitative impairment test of goodwill and its indefinite-lived trade name as of October 1, 2023 and 2022 and determined that the estimated fair value of its reporting units and its indefinite-lived trade name exceeded their respective carrying values. Although management believes that the Company’s current estimates and assumptions utilized in its quantitative testing are reasonable and supportable, there can be no assurance that the estimates and assumptions management used for purposes of its assessment as of December 31, 2023 will prove to be accurate predictions of future performance.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For its long-lived assets and definite-lived intangible assets, the Company reviews for impairment whenever events or changes in circumstances indicate the carrying amount may not be recoverable. The Company wrote off certain IT projects and recorded immaterial impairment charges during the year ended December 31, 2023, and impairment charges of $1.9 million during the year ended December 31, 2022.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2023</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consists of the following: </w:t>
      </w:r>
    </w:p>
    <w:tbl>
      <w:tblPr>
        <w:tblW w:w="7970" w:type="dxa"/>
        <w:jc w:val="left"/>
        <w:tblInd w:w="0" w:type="dxa"/>
        <w:tblLayout w:type="fixed"/>
        <w:tblCellMar>
          <w:top w:w="28" w:type="dxa"/>
          <w:left w:w="28" w:type="dxa"/>
          <w:bottom w:w="28" w:type="dxa"/>
          <w:right w:w="28" w:type="dxa"/>
        </w:tblCellMar>
      </w:tblPr>
      <w:tblGrid>
        <w:gridCol w:w="1467"/>
        <w:gridCol w:w="1287"/>
        <w:gridCol w:w="1296"/>
        <w:gridCol w:w="379"/>
        <w:gridCol w:w="379"/>
        <w:gridCol w:w="381"/>
        <w:gridCol w:w="109"/>
        <w:gridCol w:w="109"/>
        <w:gridCol w:w="109"/>
        <w:gridCol w:w="211"/>
        <w:gridCol w:w="721"/>
        <w:gridCol w:w="109"/>
        <w:gridCol w:w="109"/>
        <w:gridCol w:w="109"/>
        <w:gridCol w:w="109"/>
        <w:gridCol w:w="211"/>
        <w:gridCol w:w="72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Primarily related to software development.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See Note 2 –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2023</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Balance Sheet Details</w:t>
      </w:r>
    </w:p>
    <w:tbl>
      <w:tblPr>
        <w:tblW w:w="6249" w:type="dxa"/>
        <w:jc w:val="center"/>
        <w:tblInd w:w="0" w:type="dxa"/>
        <w:tblLayout w:type="fixed"/>
        <w:tblCellMar>
          <w:top w:w="28" w:type="dxa"/>
          <w:left w:w="28" w:type="dxa"/>
          <w:bottom w:w="28" w:type="dxa"/>
          <w:right w:w="28" w:type="dxa"/>
        </w:tblCellMar>
      </w:tblPr>
      <w:tblGrid>
        <w:gridCol w:w="1336"/>
        <w:gridCol w:w="1175"/>
        <w:gridCol w:w="1179"/>
        <w:gridCol w:w="211"/>
        <w:gridCol w:w="721"/>
        <w:gridCol w:w="109"/>
        <w:gridCol w:w="109"/>
        <w:gridCol w:w="109"/>
        <w:gridCol w:w="109"/>
        <w:gridCol w:w="211"/>
        <w:gridCol w:w="82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 - current: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receivable - non-current: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employment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Subcontractor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payroll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Bonuses and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consists of the following:</w:t>
      </w:r>
    </w:p>
    <w:tbl>
      <w:tblPr>
        <w:tblW w:w="10205" w:type="dxa"/>
        <w:jc w:val="left"/>
        <w:tblInd w:w="0" w:type="dxa"/>
        <w:tblLayout w:type="fixed"/>
        <w:tblCellMar>
          <w:top w:w="28" w:type="dxa"/>
          <w:left w:w="28" w:type="dxa"/>
          <w:bottom w:w="28" w:type="dxa"/>
          <w:right w:w="28" w:type="dxa"/>
        </w:tblCellMar>
      </w:tblPr>
      <w:tblGrid>
        <w:gridCol w:w="1703"/>
        <w:gridCol w:w="1406"/>
        <w:gridCol w:w="1416"/>
        <w:gridCol w:w="261"/>
        <w:gridCol w:w="503"/>
        <w:gridCol w:w="137"/>
        <w:gridCol w:w="109"/>
        <w:gridCol w:w="109"/>
        <w:gridCol w:w="109"/>
        <w:gridCol w:w="278"/>
        <w:gridCol w:w="879"/>
        <w:gridCol w:w="143"/>
        <w:gridCol w:w="109"/>
        <w:gridCol w:w="109"/>
        <w:gridCol w:w="109"/>
        <w:gridCol w:w="211"/>
        <w:gridCol w:w="826"/>
        <w:gridCol w:w="109"/>
        <w:gridCol w:w="109"/>
        <w:gridCol w:w="109"/>
        <w:gridCol w:w="109"/>
        <w:gridCol w:w="275"/>
        <w:gridCol w:w="870"/>
        <w:gridCol w:w="207"/>
      </w:tblGrid>
      <w:tr>
        <w:trPr/>
        <w:tc>
          <w:tcPr>
            <w:tcW w:w="17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r>
      <w:tr>
        <w:trPr/>
        <w:tc>
          <w:tcPr>
            <w:tcW w:w="4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interest of 10.14% at December 31, 2022</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 interest of 6.99% and 5.90% at December 31, 2023 and 2022, respectively</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all debt is considered non-current debt on the consolidated balance sheets.The Company has elected to present the debt issuance costs associated with its revolving line-of-credit as an asset, which is included in other assets on the consolidated balance sheets. As a result, the debt in the above table will not agree to debt on the consolidated balance sheets 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its scheduled payments, the Company made optional prepayments of $50.0 million on its term loan on June 23, 2022 and October 26, 2022, totaling $100.0 million, to reduce interest costs. The Company was entitled to determine the application of the prepayments, which were applied to all future amortization payments, with the balance applied to the remaining balloon payment in 2027. On June 30, 2023, the Company repaid all outstanding obligations under the term loan and terminated the Term Loan Agreement (as defined below).</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2021 Term Loan Credit Agreement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had an interest rate of one-month London Inter-Bank Offered Rate (LIBOR) plus 5.75% per annum, subject to a 0.75% LIBOR floor. The borrowings under the Term Loan Agreement generally bore interest at a variable rate based on either LIBOR or Base Rate (as defined in the Term Loan Agreement) and were subject to mandatory prepayments of principal payable in quarterly installments.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was secured by a second-priority security interest in the collateral as defined in the Loan Agreement (as defined below). The lien priority, relative rights, and other creditors’ rights issues in respect of the collateral lenders are set forth in the Intercreditor Agreement, dated June 8, 2021 (Intercreditor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In conjunction with the Term Loan First Amendment, the Company entered into the Term Loan First Amendment to the Intercreditor Agreement effective as of November 18,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14, 2023, the Company amended its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basis points due to the credit spread associated with the transition to SOFR.</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and fourth quarters of 2022, the Company made early prepayments totaling $100.0 million, and incurred prepayment premiums of $1.0 million pursuant to the Term Loan Agreement. Debt issuance costs of $1.4 million and $1.3 million were written off in the second and fourth quarters of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 (continued)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prepayment premiums and write-off of debt issuance costs are included as loss on early extinguishment of debt in the consolidated statements of operations and comprehensive income. </w:t>
      </w:r>
    </w:p>
    <w:p>
      <w:pPr>
        <w:pStyle w:val="TextBody"/>
        <w:bidi w:val="0"/>
        <w:spacing w:lineRule="auto" w:line="288" w:before="40" w:after="120"/>
        <w:jc w:val="left"/>
        <w:rPr>
          <w:rFonts w:ascii="Times New Roman;sans-serif" w:hAnsi="Times New Roman;sans-serif"/>
          <w:b/>
          <w:i/>
          <w:color w:val="000000"/>
          <w:sz w:val="20"/>
        </w:rPr>
      </w:pPr>
      <w:r>
        <w:rPr>
          <w:rFonts w:ascii="Times New Roman;sans-serif" w:hAnsi="Times New Roman;sans-serif"/>
          <w:b/>
          <w:i/>
          <w:color w:val="000000"/>
          <w:sz w:val="20"/>
        </w:rPr>
        <w:t>2019 Asset-Based Loan Agreement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25, 2019, the Company terminated its prior senior credit facility and entered into an asset-based loan agreement, by and among the Company and certain of its domestic subsidiaries, as borrowers or guarantors, Wells Fargo, PNC Bank N.A., as well as other Lenders (as defined therein) from time to time parties thereto (Loan Agreement). The Loan Agreement provides for a five-year revolving senior secured asset-based credit facility (ABL) in the aggregate principal amount of up to $120.0 million, including a sublimit for swing loans up to $15.0 million and a $35.0 million sublimit for standby letters of credit. The initial amounts drawn on the ABL included funds to repay the Company’s then outstanding borrowings of $75.4 million under its August 2017 Credit Facility and $1.3 million for the payment of fees, expenses, and accrued interest, as well as to backstop $21.2 million for outstanding letters of credit.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2020, the Company amended its Loan Agreement (First Amendment), which increased the current aggregate committed size of the ABL from $120.0 million to $130.0 million. All other terms, conditions, covenants, and pricing of the Loan Agreement remained the same.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its Loan Agreement (Fourth Amendment), whereby the permitted indebtedness (as defined in the Loan Agreement), was increased to $175.0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2022, the Company amended its Loan Agreement (Fifth Amendment), which increased the current aggregate committed size of the ABL from $150.0 million to $300.0 million, extended the credit facility for an additional five years through March 21, 2027, and increased certain borrowing base sub-limits. In addition, the agreement provides the option for all or a portion of the borrowings to bear interest at a rate based on the SOFR or Base Rate, at the election of the borrowers, plus an applicable margin. The applicable margin will increase 10 basis points due to the credit spread associated with the transition to SOFR.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the Company amended its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amendments were treated as modifications of debt and, as a result, the associated fees and costs were included in debt issuance costs and will be amortized ratably over the remaining term of the Loan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Availability under the ABL will be used for general corporate purposes. At December 31, 2023, borrowing base availability under the ABL was $220.6 million. The Company had no borrowings drawn, and $13.8 million of letters of credit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to workers' compensation and professional liability policies (See Note 2 - Summary of Significant Accounting Policies), leaving $206.8 million of excess availability.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various restrictions applicable to the Company and its subsidiaries. Obligations under the ABL are secured by substantially all the assets of the borrowers and guarantors (as defined therein), subject to customary exceptions.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Agreement will automatically become due and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2015, in connection with the Mediscan acquisition, the Company assumed two contingent purchase price liabilities for a previously acquired business, one that was payable annually based on certain performance criteria for the years 2016 through 2019, and a second performance criterion related to 2019 payable in three equal installments. In the first quarter of 2020, the total earnout amount related to both 2019 performance criteria of $7.4 million was determined, and the Company paid $0.1 million on the first earnout related to the year 2019. The remaining $7.3 million, related to the second earnout, was converted to a subordinated promissory note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first two installments of $2.4 million each were paid in the second quarter of 2020 and in the first quarter of 2021, respectively. The third and final installment of $2.6 million, including interest of 2% per annum, accruing from April 1, 2020, was paid in the first quarter of 2022. See Note 4 -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 See Note 2 -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Beginning in the second quarter of 2020, in connection with the global pandemic, the Company expedited restructuring plans and either reduced or fully vacated leased office space. The decision and change in the use of space resulted in a right-of-use asset impairment charge of</w:t>
      </w:r>
      <w:r>
        <w:rPr>
          <w:color w:val="000000"/>
          <w:shd w:fill="FFFFFF" w:val="clear"/>
        </w:rPr>
        <w:t xml:space="preserve"> </w:t>
      </w:r>
      <w:r>
        <w:rPr>
          <w:rFonts w:ascii="Times New Roman;sans-serif" w:hAnsi="Times New Roman;sans-serif"/>
          <w:b w:val="false"/>
          <w:color w:val="000000"/>
          <w:sz w:val="20"/>
          <w:shd w:fill="FFFFFF" w:val="clear"/>
        </w:rPr>
        <w:t>$2.8 million and $1.7 million for the years ended December 31, 2022 and 2021, respectively, and an immaterial right-of-use asset impairment charge for the year ended December 31, 2023.</w:t>
      </w:r>
      <w:r>
        <w:rPr>
          <w:color w:val="000000"/>
        </w:rPr>
        <w:t xml:space="preserve"> </w:t>
      </w:r>
      <w:r>
        <w:rPr>
          <w:rFonts w:ascii="Times New Roman;sans-serif" w:hAnsi="Times New Roman;sans-serif"/>
          <w:b w:val="false"/>
          <w:color w:val="000000"/>
          <w:sz w:val="20"/>
        </w:rPr>
        <w:t>These losses were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year ended December 31, 2022, the Company wrote off a total of</w:t>
      </w:r>
      <w:r>
        <w:rPr>
          <w:color w:val="000000"/>
          <w:shd w:fill="FFFFFF" w:val="clear"/>
        </w:rPr>
        <w:t xml:space="preserve"> </w:t>
      </w:r>
      <w:r>
        <w:rPr>
          <w:rFonts w:ascii="Times New Roman;sans-serif" w:hAnsi="Times New Roman;sans-serif"/>
          <w:b w:val="false"/>
          <w:color w:val="000000"/>
          <w:sz w:val="20"/>
          <w:shd w:fill="FFFFFF" w:val="clear"/>
        </w:rPr>
        <w:t xml:space="preserve">$0.9 million </w:t>
      </w:r>
      <w:r>
        <w:rPr>
          <w:rFonts w:ascii="Times New Roman;sans-serif" w:hAnsi="Times New Roman;sans-serif"/>
          <w:b w:val="false"/>
          <w:color w:val="000000"/>
          <w:sz w:val="20"/>
        </w:rPr>
        <w:t xml:space="preserve">of leasehold improvements and other property and equipment related to these locations, </w:t>
      </w:r>
      <w:r>
        <w:rPr>
          <w:rFonts w:ascii="Times New Roman;sans-serif" w:hAnsi="Times New Roman;sans-serif"/>
          <w:b w:val="false"/>
          <w:color w:val="000000"/>
          <w:sz w:val="20"/>
          <w:shd w:fill="FFFFFF" w:val="clear"/>
        </w:rPr>
        <w:t>and wrote off an immaterial amount in 2023 and 2021</w:t>
      </w:r>
      <w:r>
        <w:rPr>
          <w:rFonts w:ascii="Times New Roman;sans-serif" w:hAnsi="Times New Roman;sans-serif"/>
          <w:b w:val="false"/>
          <w:color w:val="000000"/>
          <w:sz w:val="20"/>
        </w:rPr>
        <w:t>. The measurement of the right-of-use asset impairments, using the assumptions described, is a Level 3 fair value measurement. See Note 10 - Fair Value Measurements for a description of Level 3 inputs.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included on the consolidated balance sheets:</w:t>
      </w:r>
    </w:p>
    <w:tbl>
      <w:tblPr>
        <w:tblW w:w="7870" w:type="dxa"/>
        <w:jc w:val="center"/>
        <w:tblInd w:w="0" w:type="dxa"/>
        <w:tblLayout w:type="fixed"/>
        <w:tblCellMar>
          <w:top w:w="28" w:type="dxa"/>
          <w:left w:w="28" w:type="dxa"/>
          <w:bottom w:w="28" w:type="dxa"/>
          <w:right w:w="28" w:type="dxa"/>
        </w:tblCellMar>
      </w:tblPr>
      <w:tblGrid>
        <w:gridCol w:w="1466"/>
        <w:gridCol w:w="1288"/>
        <w:gridCol w:w="1295"/>
        <w:gridCol w:w="616"/>
        <w:gridCol w:w="317"/>
        <w:gridCol w:w="792"/>
        <w:gridCol w:w="109"/>
        <w:gridCol w:w="109"/>
        <w:gridCol w:w="109"/>
        <w:gridCol w:w="586"/>
        <w:gridCol w:w="302"/>
        <w:gridCol w:w="881"/>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 on Consolidated Balance Sheets: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years</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and total of, the remaining years to the operating lease liabilities (which do not include short-term leases) recorded on the consolidated balance sheets as of December 31, 2023:</w:t>
      </w:r>
    </w:p>
    <w:tbl>
      <w:tblPr>
        <w:tblW w:w="6419" w:type="dxa"/>
        <w:jc w:val="left"/>
        <w:tblInd w:w="0" w:type="dxa"/>
        <w:tblLayout w:type="fixed"/>
        <w:tblCellMar>
          <w:top w:w="28" w:type="dxa"/>
          <w:left w:w="28" w:type="dxa"/>
          <w:bottom w:w="28" w:type="dxa"/>
          <w:right w:w="28" w:type="dxa"/>
        </w:tblCellMar>
      </w:tblPr>
      <w:tblGrid>
        <w:gridCol w:w="1587"/>
        <w:gridCol w:w="1394"/>
        <w:gridCol w:w="1399"/>
        <w:gridCol w:w="438"/>
        <w:gridCol w:w="1281"/>
        <w:gridCol w:w="320"/>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 current</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regarding supplemental cash flows:</w:t>
      </w:r>
    </w:p>
    <w:tbl>
      <w:tblPr>
        <w:tblW w:w="10136" w:type="dxa"/>
        <w:jc w:val="center"/>
        <w:tblInd w:w="0" w:type="dxa"/>
        <w:tblLayout w:type="fixed"/>
        <w:tblCellMar>
          <w:top w:w="28" w:type="dxa"/>
          <w:left w:w="28" w:type="dxa"/>
          <w:bottom w:w="28" w:type="dxa"/>
          <w:right w:w="28" w:type="dxa"/>
        </w:tblCellMar>
      </w:tblPr>
      <w:tblGrid>
        <w:gridCol w:w="2401"/>
        <w:gridCol w:w="2109"/>
        <w:gridCol w:w="2119"/>
        <w:gridCol w:w="211"/>
        <w:gridCol w:w="616"/>
        <w:gridCol w:w="109"/>
        <w:gridCol w:w="109"/>
        <w:gridCol w:w="109"/>
        <w:gridCol w:w="109"/>
        <w:gridCol w:w="211"/>
        <w:gridCol w:w="616"/>
        <w:gridCol w:w="109"/>
        <w:gridCol w:w="109"/>
        <w:gridCol w:w="109"/>
        <w:gridCol w:w="109"/>
        <w:gridCol w:w="211"/>
        <w:gridCol w:w="616"/>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2426"/>
        <w:gridCol w:w="2133"/>
        <w:gridCol w:w="2137"/>
        <w:gridCol w:w="211"/>
        <w:gridCol w:w="616"/>
        <w:gridCol w:w="109"/>
        <w:gridCol w:w="109"/>
        <w:gridCol w:w="109"/>
        <w:gridCol w:w="109"/>
        <w:gridCol w:w="211"/>
        <w:gridCol w:w="616"/>
        <w:gridCol w:w="109"/>
        <w:gridCol w:w="109"/>
        <w:gridCol w:w="109"/>
        <w:gridCol w:w="109"/>
        <w:gridCol w:w="211"/>
        <w:gridCol w:w="616"/>
        <w:gridCol w:w="156"/>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Included in Consolidated Statements of Operations and Comprehensive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and other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short-term lease expense, and variable and other lease costs are included in selling, general and administrative expenses, direct operating expenses, and restructuring costs in the consolidated statements of operations and comprehensive income, depending on the nature of the leased asset. Operating lease expense is reported net of sublease income, which is not material. Variable and other lease costs for the year ended December 31, 2022 include a benefit associated with the early termination of a lease for one of the Company's corporate offices which was previously restructured.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did not have any material operating leases which had not yet commenced. The Company had an immaterial amount of finance lease contracts related to other equipment rentals for the years ended December 31, 2022 and 2021, which are not included in the above disclosures, and no finance lease contracts for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assets/liabilities required to be measured at fair value on a recurring basis were primarily its: (i) deferred compensation asset included in other assets; and (ii) deferred compensation liability included in other liabilities on its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Deferred compensation</w:t>
      </w:r>
      <w:r>
        <w:rPr>
          <w:color w:val="000000"/>
        </w:rPr>
        <w:t>—</w:t>
      </w:r>
      <w:r>
        <w:rPr>
          <w:rFonts w:ascii="Times New Roman;sans-serif" w:hAnsi="Times New Roman;sans-serif"/>
          <w:b w:val="false"/>
          <w:color w:val="000000"/>
          <w:sz w:val="20"/>
        </w:rPr>
        <w:t>The Company utilizes Level 1 inputs to value its deferred compensation assets and liabilities. The Company’s deferred compensation assets and liabilities are measured using publicly available indices, as per the plan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financial assets and liabilities measured on a recurring basis is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bl>
      <w:tblPr>
        <w:tblW w:w="6520" w:type="dxa"/>
        <w:jc w:val="center"/>
        <w:tblInd w:w="0" w:type="dxa"/>
        <w:tblLayout w:type="fixed"/>
        <w:tblCellMar>
          <w:top w:w="28" w:type="dxa"/>
          <w:left w:w="28" w:type="dxa"/>
          <w:bottom w:w="28" w:type="dxa"/>
          <w:right w:w="28" w:type="dxa"/>
        </w:tblCellMar>
      </w:tblPr>
      <w:tblGrid>
        <w:gridCol w:w="978"/>
        <w:gridCol w:w="859"/>
        <w:gridCol w:w="863"/>
        <w:gridCol w:w="387"/>
        <w:gridCol w:w="1135"/>
        <w:gridCol w:w="202"/>
        <w:gridCol w:w="109"/>
        <w:gridCol w:w="109"/>
        <w:gridCol w:w="109"/>
        <w:gridCol w:w="380"/>
        <w:gridCol w:w="1110"/>
        <w:gridCol w:w="2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asset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820" w:type="dxa"/>
            <w:gridSpan w:val="9"/>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3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Items Measured at Fair Value on a Non-recurring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 During the years ended December 31, 2023, 2022, and 2021, certain IT projects were written off and leases were vacated resulting in an impairment of the related IT assets and right-of-use assets along with related property and equipment, respectively, using Level 3 inputs to determine remeasured fair value of these assets. See Note 5 - Goodwill, Trade Names, and Other Intangible Assets and Note 9 - Leases for more information about these impairments.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Fair Value Measurements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ABL, (ii) term loan, and (iii) through (v) earnout liabilities related to the WSG, Selected, Mint, and HireUp acquisitions, as discussed below.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w:t>
      </w:r>
      <w:r>
        <w:rPr>
          <w:color w:val="000000"/>
        </w:rPr>
        <w:t xml:space="preserve"> </w:t>
      </w:r>
      <w:r>
        <w:rPr>
          <w:rFonts w:ascii="Times New Roman;sans-serif" w:hAnsi="Times New Roman;sans-serif"/>
          <w:b w:val="false"/>
          <w:color w:val="000000"/>
          <w:sz w:val="20"/>
        </w:rPr>
        <w:t>The carrying amount of the Company's ABL approximates fair value because the interest rates are variable and reflective of market rates.</w:t>
      </w:r>
    </w:p>
    <w:p>
      <w:pPr>
        <w:pStyle w:val="TextBody"/>
        <w:bidi w:val="0"/>
        <w:spacing w:lineRule="auto" w:line="288" w:before="0" w:after="0"/>
        <w:jc w:val="left"/>
        <w:rPr/>
      </w:pPr>
      <w:r>
        <w:rPr>
          <w:rFonts w:ascii="Times New Roman;sans-serif" w:hAnsi="Times New Roman;sans-serif"/>
          <w:b/>
          <w:color w:val="000000"/>
          <w:sz w:val="20"/>
        </w:rPr>
        <w:t>(ii)</w:t>
      </w:r>
      <w:r>
        <w:rPr>
          <w:color w:val="000000"/>
        </w:rPr>
        <w:t xml:space="preserve"> </w:t>
      </w:r>
      <w:r>
        <w:rPr>
          <w:rFonts w:ascii="Times New Roman;sans-serif" w:hAnsi="Times New Roman;sans-serif"/>
          <w:b w:val="false"/>
          <w:color w:val="000000"/>
          <w:sz w:val="20"/>
        </w:rPr>
        <w:t>On June 30, 2023, the Company repaid all outstanding obligations of $73.9 million under the term loan and terminated the Term Loan Agreement. See Note 8 - Debt. Prior to termination, the estimated fair value of the Company’s term loan was calculated applying an interest rate lattice model using Level 2 inputs from available market information.</w:t>
      </w:r>
    </w:p>
    <w:p>
      <w:pPr>
        <w:pStyle w:val="TextBody"/>
        <w:bidi w:val="0"/>
        <w:spacing w:lineRule="auto" w:line="288" w:before="0" w:after="0"/>
        <w:jc w:val="left"/>
        <w:rPr/>
      </w:pPr>
      <w:r>
        <w:rPr>
          <w:rFonts w:ascii="Times New Roman;sans-serif" w:hAnsi="Times New Roman;sans-serif"/>
          <w:b/>
          <w:color w:val="000000"/>
          <w:sz w:val="20"/>
        </w:rPr>
        <w:t>(iii)</w:t>
      </w:r>
      <w:r>
        <w:rPr>
          <w:color w:val="000000"/>
        </w:rPr>
        <w:t xml:space="preserve"> </w:t>
      </w:r>
      <w:r>
        <w:rPr>
          <w:rFonts w:ascii="Times New Roman;sans-serif" w:hAnsi="Times New Roman;sans-serif"/>
          <w:b w:val="false"/>
          <w:color w:val="000000"/>
          <w:sz w:val="20"/>
        </w:rPr>
        <w:t>Potential earnout payments related to the WSG acquisition were contingent upon meeting certain performance requirements based on 2021 through 2023 performance. The Company performed an analysis using multiple forecasted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In the third quarter of 2023, the Company determined that the contingent consideration earnout related to the WSG acquisition was also achieved for the 2022 through 2023 period and, as a result, the Company made the final $7.5 million earnout payment. See Note 4 - Acquisitions.</w:t>
      </w:r>
    </w:p>
    <w:p>
      <w:pPr>
        <w:pStyle w:val="TextBody"/>
        <w:bidi w:val="0"/>
        <w:spacing w:lineRule="auto" w:line="288" w:before="0" w:after="0"/>
        <w:jc w:val="left"/>
        <w:rPr/>
      </w:pPr>
      <w:r>
        <w:rPr>
          <w:rFonts w:ascii="Times New Roman;sans-serif" w:hAnsi="Times New Roman;sans-serif"/>
          <w:b/>
          <w:color w:val="000000"/>
          <w:sz w:val="20"/>
        </w:rPr>
        <w:t>(iv)</w:t>
      </w:r>
      <w:r>
        <w:rPr>
          <w:color w:val="000000"/>
        </w:rPr>
        <w:t xml:space="preserve"> </w:t>
      </w:r>
      <w:r>
        <w:rPr>
          <w:rFonts w:ascii="Times New Roman;sans-serif" w:hAnsi="Times New Roman;sans-serif"/>
          <w:b w:val="false"/>
          <w:color w:val="000000"/>
          <w:sz w:val="20"/>
        </w:rPr>
        <w:t>Potential earnout payments related to the Mint acquisition are contingent upon meeting certain performance requirements based on 2022 through 2024 performance. The Company performed an analysis using multiple forecasted scenarios to determine the fair value of the earnout liability. In the fourth quarter of 2023, the Company performed the earnout calculation for the first measurement period, resulting in an earnout of $4.9 million included in the current portion of earnout liability, which was paid in the first quarter of 2024. The long-term portion of the liability of $5.0 million is included in the non-current portion of earnout liability on the consolidated balance sheets. The earnout liability's carrying amount approximates fair value. See Note 4 - Acquisitions.</w:t>
      </w:r>
    </w:p>
    <w:p>
      <w:pPr>
        <w:pStyle w:val="TextBody"/>
        <w:bidi w:val="0"/>
        <w:spacing w:lineRule="auto" w:line="288" w:before="0" w:after="0"/>
        <w:jc w:val="left"/>
        <w:rPr/>
      </w:pPr>
      <w:r>
        <w:rPr>
          <w:rFonts w:ascii="Times New Roman;sans-serif" w:hAnsi="Times New Roman;sans-serif"/>
          <w:b/>
          <w:color w:val="000000"/>
          <w:sz w:val="20"/>
        </w:rPr>
        <w:t>(v)</w:t>
      </w:r>
      <w:r>
        <w:rPr>
          <w:color w:val="000000"/>
        </w:rPr>
        <w:t xml:space="preserve"> </w:t>
      </w:r>
      <w:r>
        <w:rPr>
          <w:rFonts w:ascii="Times New Roman;sans-serif" w:hAnsi="Times New Roman;sans-serif"/>
          <w:b w:val="false"/>
          <w:color w:val="000000"/>
          <w:sz w:val="20"/>
        </w:rPr>
        <w:t>Potential earnout payments related to the HireUp acquisition are contingent upon meeting certain performance requirements based on 2022 through 2024 performance. Quarterly throughout 2023, the Company performed analyses using multiple updated forecast scenarios and determined that the earnout would only be partially achieved. As a result, the Company recognized a decrease in the fair value of the related liabilities in the second and third quarters of 2023. The liability of $1.9 million is included in the current portion of earnout liability on the consolidated balance sheets. See 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 of the Company’s significant financial instruments that were not measured at fair value are as follows:</w:t>
      </w:r>
    </w:p>
    <w:tbl>
      <w:tblPr>
        <w:tblW w:w="7815" w:type="dxa"/>
        <w:jc w:val="center"/>
        <w:tblInd w:w="0" w:type="dxa"/>
        <w:tblLayout w:type="fixed"/>
        <w:tblCellMar>
          <w:top w:w="28" w:type="dxa"/>
          <w:left w:w="28" w:type="dxa"/>
          <w:bottom w:w="28" w:type="dxa"/>
          <w:right w:w="28" w:type="dxa"/>
        </w:tblCellMar>
      </w:tblPr>
      <w:tblGrid>
        <w:gridCol w:w="1027"/>
        <w:gridCol w:w="901"/>
        <w:gridCol w:w="90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35"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(WSG)</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(Mint)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(HireUp)</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Fair Value Measurements (continued)</w:t>
      </w:r>
    </w:p>
    <w:p>
      <w:pPr>
        <w:pStyle w:val="TextBody"/>
        <w:bidi w:val="0"/>
        <w:spacing w:lineRule="auto" w:line="288" w:before="180" w:after="283"/>
        <w:jc w:val="left"/>
        <w:rPr/>
      </w:pPr>
      <w:r>
        <w:rPr>
          <w:color w:val="000000"/>
        </w:rPr>
        <w:t> </w:t>
      </w: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by the Company, net of forfeitures, under this plan were $2.6 million for the years ended December 31, 2023 and 2022, and $1.0 million for the year ended December 31, 2021. Eligible employees who elect to participate in the plan are generally vested in any existing matching contribution after three years of service with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2003 Deferred Compensation Plan, which was frozen effective December 31, 2017, and a 2017 Nonqualified Deferred Compensation Plan, each a non-qualified deferred compensation arrangement, intended to comply with Section 409A of the Internal Revenue Code of 1986, as amended, or the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deferred compensation plans, the Company elected to invest in amounts consistent with the participants' choices of allocations to funds. Participants of the deferred compensation plans are the Company’s unsecured general creditors with respect to the deferred compensation plan benefits. The liability for the deferred compensation is included in other long-term liabilities in the consolidated balance sheets and was $3.3 million and $2.5 million at December 31,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third quarter of 2021, the Company entered into an agreement providing for the reimbursement of $1.6 million in legal fees relating to a grand jury subpoena disclosed in a previous Annual Report on Form 10-K, which was collected in the fourth quarter of 2021. The Company believes the outcome of any outstanding loss contingencies as of December 31, 2023 will not have a material adverse effect on its business,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Other State Non-Income Tax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operates in all 50 states and numerous local jurisdictions, some of which assess sales and other state non-income taxes on our services. In the past, it has been subject to routine audits by authorities in the jurisdictions which have resulted in assessments of additional taxes, interest and penalties. The Company accrues sales and other state non-income tax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Contingencies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its best estimate of the probable liability utilizing currently available information and interpretation of relevant tax regulations. Given the nature of the Company’s services offered, subjectivity exists as to both whether sales and other state non-income taxes can be assessed. The Company makes a determination for each reporting period whether the estimates for sales and other non-income taxes in certain states and local jurisdictions are materially accurate. The expense is included in selling, general and administrative expenses in its consolidated statements of operations and comprehensive income and the liability is reflected in sales tax payable within other 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income before income taxes are as follows:</w:t>
      </w:r>
    </w:p>
    <w:tbl>
      <w:tblPr>
        <w:tblW w:w="6522" w:type="dxa"/>
        <w:jc w:val="left"/>
        <w:tblInd w:w="0" w:type="dxa"/>
        <w:tblLayout w:type="fixed"/>
        <w:tblCellMar>
          <w:top w:w="28" w:type="dxa"/>
          <w:left w:w="28" w:type="dxa"/>
          <w:bottom w:w="28" w:type="dxa"/>
          <w:right w:w="28" w:type="dxa"/>
        </w:tblCellMar>
      </w:tblPr>
      <w:tblGrid>
        <w:gridCol w:w="865"/>
        <w:gridCol w:w="758"/>
        <w:gridCol w:w="762"/>
        <w:gridCol w:w="211"/>
        <w:gridCol w:w="826"/>
        <w:gridCol w:w="109"/>
        <w:gridCol w:w="109"/>
        <w:gridCol w:w="109"/>
        <w:gridCol w:w="109"/>
        <w:gridCol w:w="211"/>
        <w:gridCol w:w="826"/>
        <w:gridCol w:w="109"/>
        <w:gridCol w:w="109"/>
        <w:gridCol w:w="109"/>
        <w:gridCol w:w="109"/>
        <w:gridCol w:w="211"/>
        <w:gridCol w:w="82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components of the Company’s income tax expense are as follows:</w:t>
      </w:r>
    </w:p>
    <w:tbl>
      <w:tblPr>
        <w:tblW w:w="5441" w:type="dxa"/>
        <w:jc w:val="left"/>
        <w:tblInd w:w="0" w:type="dxa"/>
        <w:tblLayout w:type="fixed"/>
        <w:tblCellMar>
          <w:top w:w="28" w:type="dxa"/>
          <w:left w:w="28" w:type="dxa"/>
          <w:bottom w:w="28" w:type="dxa"/>
          <w:right w:w="28" w:type="dxa"/>
        </w:tblCellMar>
      </w:tblPr>
      <w:tblGrid>
        <w:gridCol w:w="644"/>
        <w:gridCol w:w="537"/>
        <w:gridCol w:w="543"/>
        <w:gridCol w:w="211"/>
        <w:gridCol w:w="721"/>
        <w:gridCol w:w="109"/>
        <w:gridCol w:w="109"/>
        <w:gridCol w:w="109"/>
        <w:gridCol w:w="109"/>
        <w:gridCol w:w="211"/>
        <w:gridCol w:w="721"/>
        <w:gridCol w:w="109"/>
        <w:gridCol w:w="109"/>
        <w:gridCol w:w="109"/>
        <w:gridCol w:w="109"/>
        <w:gridCol w:w="211"/>
        <w:gridCol w:w="61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reflect the Company's net tax effect of temporary differences between the carrying amount of assets and liabilities for financial reporting purposes and the amounts used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are as follows:</w:t>
      </w:r>
    </w:p>
    <w:tbl>
      <w:tblPr>
        <w:tblW w:w="5289" w:type="dxa"/>
        <w:jc w:val="left"/>
        <w:tblInd w:w="0" w:type="dxa"/>
        <w:tblLayout w:type="fixed"/>
        <w:tblCellMar>
          <w:top w:w="28" w:type="dxa"/>
          <w:left w:w="28" w:type="dxa"/>
          <w:bottom w:w="28" w:type="dxa"/>
          <w:right w:w="28" w:type="dxa"/>
        </w:tblCellMar>
      </w:tblPr>
      <w:tblGrid>
        <w:gridCol w:w="1104"/>
        <w:gridCol w:w="969"/>
        <w:gridCol w:w="972"/>
        <w:gridCol w:w="211"/>
        <w:gridCol w:w="616"/>
        <w:gridCol w:w="109"/>
        <w:gridCol w:w="109"/>
        <w:gridCol w:w="109"/>
        <w:gridCol w:w="109"/>
        <w:gridCol w:w="211"/>
        <w:gridCol w:w="61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and 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workers’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on unrepatriated earnings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2023 and 2022, the Company had </w:t>
      </w:r>
      <w:r>
        <w:rPr>
          <w:rFonts w:ascii="Times New Roman;sans-serif" w:hAnsi="Times New Roman;sans-serif"/>
          <w:b w:val="false"/>
          <w:color w:val="000000"/>
          <w:sz w:val="20"/>
          <w:shd w:fill="FFFFFF" w:val="clear"/>
        </w:rPr>
        <w:t xml:space="preserve">immaterial </w:t>
      </w:r>
      <w:r>
        <w:rPr>
          <w:rFonts w:ascii="Times New Roman;sans-serif" w:hAnsi="Times New Roman;sans-serif"/>
          <w:b w:val="false"/>
          <w:color w:val="000000"/>
          <w:sz w:val="20"/>
        </w:rPr>
        <w:t xml:space="preserve">valuation allowances on its deferred tax assets.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approximately $22.9 million of state net operating loss carryforwards, and an immaterial amount of foreign net operating loss carryforwards. The NOLs expire as follows: state between 2024 and 2041 and foreign between 2024 and 2028. As a result of the 2017 Tax Act, certain state NOLs generated in 2020, 2019, and 2018 carry forward indefinitely.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income tax computed at the U.S. federal statutory rate to income tax expense is as follows:</w:t>
      </w:r>
    </w:p>
    <w:tbl>
      <w:tblPr>
        <w:tblW w:w="6581" w:type="dxa"/>
        <w:jc w:val="left"/>
        <w:tblInd w:w="0" w:type="dxa"/>
        <w:tblLayout w:type="fixed"/>
        <w:tblCellMar>
          <w:top w:w="28" w:type="dxa"/>
          <w:left w:w="28" w:type="dxa"/>
          <w:bottom w:w="28" w:type="dxa"/>
          <w:right w:w="28" w:type="dxa"/>
        </w:tblCellMar>
      </w:tblPr>
      <w:tblGrid>
        <w:gridCol w:w="997"/>
        <w:gridCol w:w="880"/>
        <w:gridCol w:w="882"/>
        <w:gridCol w:w="211"/>
        <w:gridCol w:w="721"/>
        <w:gridCol w:w="109"/>
        <w:gridCol w:w="109"/>
        <w:gridCol w:w="109"/>
        <w:gridCol w:w="109"/>
        <w:gridCol w:w="211"/>
        <w:gridCol w:w="721"/>
        <w:gridCol w:w="109"/>
        <w:gridCol w:w="109"/>
        <w:gridCol w:w="109"/>
        <w:gridCol w:w="109"/>
        <w:gridCol w:w="211"/>
        <w:gridCol w:w="721"/>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U.S. statutory rate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Non-deductible items</w:t>
            </w:r>
            <w:r>
              <w:rPr>
                <w:rFonts w:ascii="Times New Roman;sans-serif" w:hAnsi="Times New Roman;sans-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non-deductible meals and incidentals and other miscellaneous non-deductible items.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is as follows: </w:t>
      </w:r>
    </w:p>
    <w:tbl>
      <w:tblPr>
        <w:tblW w:w="9147" w:type="dxa"/>
        <w:jc w:val="left"/>
        <w:tblInd w:w="0" w:type="dxa"/>
        <w:tblLayout w:type="fixed"/>
        <w:tblCellMar>
          <w:top w:w="28" w:type="dxa"/>
          <w:left w:w="28" w:type="dxa"/>
          <w:bottom w:w="28" w:type="dxa"/>
          <w:right w:w="28" w:type="dxa"/>
        </w:tblCellMar>
      </w:tblPr>
      <w:tblGrid>
        <w:gridCol w:w="2005"/>
        <w:gridCol w:w="1759"/>
        <w:gridCol w:w="1771"/>
        <w:gridCol w:w="211"/>
        <w:gridCol w:w="721"/>
        <w:gridCol w:w="109"/>
        <w:gridCol w:w="109"/>
        <w:gridCol w:w="109"/>
        <w:gridCol w:w="109"/>
        <w:gridCol w:w="211"/>
        <w:gridCol w:w="616"/>
        <w:gridCol w:w="109"/>
        <w:gridCol w:w="109"/>
        <w:gridCol w:w="109"/>
        <w:gridCol w:w="109"/>
        <w:gridCol w:w="211"/>
        <w:gridCol w:w="61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January 1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based on 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a lapse of applicable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short-term unrecognized tax benefits as of December 31, 2023 and 2022. Long-term unrecognized tax benefits, including interest, are presented in uncertain tax positions in the consolidated balance sheets and were $10.6 million and $7.6 million as of December 31, 2023 and 2022, respectively. As of December 31, 2023 and 2022, the Company had unrecognized tax benefits, which would affect the effective tax rate if recognized, of $10.0 million and $7.2 million, respectively.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in the provision for income taxes. During the years ended December 31, 2023, 2022, and 2021, accruals for the payment of interest and penalties were immaterial. Tax years 2012 through 2023 remain open to examination by certain taxing jurisdictions.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unrecognized tax benefit should be presented in the financial statements as a reduction to a deferred tax asset for a net operating loss carryforward if such carryforward would offset the disallowance of the tax position. As a result of the Company’s utilization of its federal net operating loss carryforward and a material amount of state net operating loss carryforwards, the Company reclassified $0.4 million of unrecognized tax benefits from deferred tax assets to long-term liabilities in the year ended December 31, 2022. Further, for the year ended December 31, 2021, the Company reclassified $0.5 million, representing the federal benefit of state unrecognized tax benefits, in the tabular rollforward from unrecognized tax benefits to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Company’s Board of Directors authorized a new stock repurchase program (the New Repurchase Program), whereby the Company may repurchase up to $100.0 million of its shares of common stock, subject to the terms of its current credit agreements. The shares may be repurchased from time-to-time in the open market or in privately negotiated transactions. The New Repurchase Program was effective immediately and may be discontinued at any time at the Board of Directors’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 During the fourth quarter of 2022, the Company entered into a Rule 10b5-1 Repurchase Plan to allow for share repurchases during the Company’s blackout periods, effective through November 2, 2023.</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Company’s Board of Directors authorized approximately $59.0 million in additional share repurchases, such that, effective for trades made after May 3, 2023, the aggregate amount available for stock repurchases under the New Repurchase Program was set at $100.0 million. The shares can be repurchased from time-to-time in the open market or in privately negotiated transactions. Decisions regarding the amount and the timing of repurchases under the New Repurchase Program will be subject to the Company’s available liquidity and cash on hand, applicable legal requirements, the terms of the Company’s Loan Agreement, general market conditions, and other factors. The New Repurchase Program does not obligate the Company to repurchase any particular number of shares of common stock and may be discontinued by the Board of Directors at any time. During the third quarter of 2023, the Company entered into a new Rule 10b5-1 Repurchase Plan to allow for share repurchases during the Company's blackout periods, beginning on January 2, 2024.</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repurchased and retired a total of 2,343,583 shares of common stock for $57.6 million, at an average market price of $24.58 per share. During the year ended December 31, 2022, the Company repurchased and retired, under both programs, a total of 1,364,815 shares of common stock for $35.3 million, at an average market price of $25.83 per share. During the year ended December 31, 2021, the Company did not repurchase any shares of its common stock.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$77.3 million remaining for share repurchase under the New Repurchase Program, subject to certain conditions in the Company's Loan Agreement. At December 31, 2023, the Company had 34,384,905 unrestricted shares of common stock outstanding. The Company may repurchase up to an aggregate amount not to exceed $5.0 million pursuant to its Loan Agreement, in any fiscal year, or an unlimited amount if the Company meets certain conditions as described in the agreement. In 2023, the conditions were met to repurchase an unlimited number of shares.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19, 2020, the Company’s stockholders approved the Cross Country Healthcare, Inc. 2020 Omnibus Incentive Plan (2020 Plan), which replaced the Cross Country Healthcare, Inc.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2017 Plan and 2020 Plan (Plans) provide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Plans, to eligible employees, consultants and non-employee Directors. The Plans include Section 162(m) performance goals so that certain incentive awards granted to certain executive officers of the Company may qualify as exempt performance-based compensation. However, Section 162(m) of the Internal Revenue Code updated in conjunction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Stockholders’ Equity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2017 Tax Act in November 2018 limits a publicly-held corporation’s federal tax deduction for compensation paid to “covered employees” to $1.0 million per year, for non-performance and performance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The shares vest ratably over a three-year period ending on the anniversary date of the grant, and vesting is subject to the employee’s continuing employment. There is no partial vesting, and any unvested portion is forfeited. Pursuant to the Plans, the number of target shares that are issued for performance-based stock awards are determined based on the level of attainment of the targets.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awards and performance stock awards activity issued under the Plans for the year ended December 31, 2023:</w:t>
      </w:r>
    </w:p>
    <w:tbl>
      <w:tblPr>
        <w:tblW w:w="10205" w:type="dxa"/>
        <w:jc w:val="center"/>
        <w:tblInd w:w="0" w:type="dxa"/>
        <w:tblLayout w:type="fixed"/>
        <w:tblCellMar>
          <w:top w:w="28" w:type="dxa"/>
          <w:left w:w="28" w:type="dxa"/>
          <w:bottom w:w="28" w:type="dxa"/>
          <w:right w:w="28" w:type="dxa"/>
        </w:tblCellMar>
      </w:tblPr>
      <w:tblGrid>
        <w:gridCol w:w="1328"/>
        <w:gridCol w:w="1168"/>
        <w:gridCol w:w="1171"/>
        <w:gridCol w:w="442"/>
        <w:gridCol w:w="444"/>
        <w:gridCol w:w="321"/>
        <w:gridCol w:w="139"/>
        <w:gridCol w:w="139"/>
        <w:gridCol w:w="139"/>
        <w:gridCol w:w="269"/>
        <w:gridCol w:w="789"/>
        <w:gridCol w:w="139"/>
        <w:gridCol w:w="109"/>
        <w:gridCol w:w="109"/>
        <w:gridCol w:w="109"/>
        <w:gridCol w:w="559"/>
        <w:gridCol w:w="499"/>
        <w:gridCol w:w="497"/>
        <w:gridCol w:w="152"/>
        <w:gridCol w:w="152"/>
        <w:gridCol w:w="152"/>
        <w:gridCol w:w="294"/>
        <w:gridCol w:w="860"/>
        <w:gridCol w:w="225"/>
      </w:tblGrid>
      <w:tr>
        <w:trPr/>
        <w:tc>
          <w:tcPr>
            <w:tcW w:w="1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Stock Awards</w:t>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Target </w:t>
              <w:br/>
              <w:t>Shares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January 1, 2023</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674,508 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476,086 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200,487 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(404,873)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(238,253)</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December 31, 2023</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547,534 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417,197 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to non-employee directors under the 2020 Plan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2022, and 2021, the Company awarded performance stock totaling 160,782, 126,576, and 160,416, respectively. The Company awarded an additional 16,921 and 7,908 shares of performance stock in the second quarter of 2022 and 2021, respectively. If the minimum level of performance is attained for the 2023, 2022, and 2021 awards, restricted stock will be issued with a vesting date of the third anniversary of such grant date. The level of attainment will be certified within 30 days of the vest date. During the first quarter of 2023, the Company's Compensation Committee of the Board of Directors approved a 120% level of attainment for the 2020 performance-based share awards, resulting in the issuance of 238,253 performance shares that vested on March 31,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2023, the Company had approximately </w:t>
      </w:r>
      <w:r>
        <w:rPr>
          <w:rFonts w:ascii="Times New Roman;sans-serif" w:hAnsi="Times New Roman;sans-serif"/>
          <w:b w:val="false"/>
          <w:color w:val="000000"/>
          <w:sz w:val="20"/>
          <w:shd w:fill="FFFFFF" w:val="clear"/>
        </w:rPr>
        <w:t>$6.8 million</w:t>
      </w:r>
      <w:r>
        <w:rPr>
          <w:color w:val="000000"/>
        </w:rPr>
        <w:t xml:space="preserve"> </w:t>
      </w:r>
      <w:r>
        <w:rPr>
          <w:rFonts w:ascii="Times New Roman;sans-serif" w:hAnsi="Times New Roman;sans-serif"/>
          <w:b w:val="false"/>
          <w:color w:val="000000"/>
          <w:sz w:val="20"/>
        </w:rPr>
        <w:t xml:space="preserve">of total unrecognized compensation cost related to non-vested restricted stock awards which may be adjusted for future changes in forfeitures. The Company expects to recognize such cost over a weighted average period of </w:t>
      </w:r>
      <w:r>
        <w:rPr>
          <w:rFonts w:ascii="Times New Roman;sans-serif" w:hAnsi="Times New Roman;sans-serif"/>
          <w:b w:val="false"/>
          <w:color w:val="000000"/>
          <w:sz w:val="20"/>
          <w:shd w:fill="FFFFFF" w:val="clear"/>
        </w:rPr>
        <w:t>1.46 years</w:t>
      </w:r>
      <w:r>
        <w:rPr>
          <w:rFonts w:ascii="Times New Roman;sans-serif" w:hAnsi="Times New Roman;sans-serif"/>
          <w:b w:val="false"/>
          <w:color w:val="000000"/>
          <w:sz w:val="20"/>
        </w:rPr>
        <w:t>. The fair value of shares vested was approximately $9.3 million, $12.1 million, and $8.9 million for the years ended December 31, 2023, 2022, and 2021, respectively.</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2023, the Company had approximately </w:t>
      </w:r>
      <w:r>
        <w:rPr>
          <w:rFonts w:ascii="Times New Roman;sans-serif" w:hAnsi="Times New Roman;sans-serif"/>
          <w:b w:val="false"/>
          <w:color w:val="000000"/>
          <w:sz w:val="20"/>
          <w:shd w:fill="FFFFFF" w:val="clear"/>
        </w:rPr>
        <w:t>$1.7 million</w:t>
      </w:r>
      <w:r>
        <w:rPr>
          <w:color w:val="000000"/>
        </w:rPr>
        <w:t xml:space="preserve"> </w:t>
      </w:r>
      <w:r>
        <w:rPr>
          <w:rFonts w:ascii="Times New Roman;sans-serif" w:hAnsi="Times New Roman;sans-serif"/>
          <w:b w:val="false"/>
          <w:color w:val="000000"/>
          <w:sz w:val="20"/>
        </w:rPr>
        <w:t xml:space="preserve">of total unrecognized compensation cost related to performance stock awards which may be adjusted for future changes in forfeitures. The Company expects to recognize such cost over a weighted average period of </w:t>
      </w:r>
      <w:r>
        <w:rPr>
          <w:rFonts w:ascii="Times New Roman;sans-serif" w:hAnsi="Times New Roman;sans-serif"/>
          <w:b w:val="false"/>
          <w:color w:val="000000"/>
          <w:sz w:val="20"/>
          <w:shd w:fill="FFFFFF" w:val="clear"/>
        </w:rPr>
        <w:t>1.26 years</w:t>
      </w:r>
      <w:r>
        <w:rPr>
          <w:rFonts w:ascii="Times New Roman;sans-serif" w:hAnsi="Times New Roman;sans-serif"/>
          <w:b w:val="false"/>
          <w:color w:val="000000"/>
          <w:sz w:val="20"/>
        </w:rPr>
        <w:t>, the remaining service period. The fair value of shares vested was approximately $5.3 million and $3.7 million for the years ended December 31, 2023 and 2022. No shares vested for the year ended December 31,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numerator and denominator for the computation of the basic and diluted earnings per share:</w:t>
      </w:r>
    </w:p>
    <w:tbl>
      <w:tblPr>
        <w:tblW w:w="9717" w:type="dxa"/>
        <w:jc w:val="left"/>
        <w:tblInd w:w="0" w:type="dxa"/>
        <w:tblLayout w:type="fixed"/>
        <w:tblCellMar>
          <w:top w:w="28" w:type="dxa"/>
          <w:left w:w="28" w:type="dxa"/>
          <w:bottom w:w="28" w:type="dxa"/>
          <w:right w:w="28" w:type="dxa"/>
        </w:tblCellMar>
      </w:tblPr>
      <w:tblGrid>
        <w:gridCol w:w="2056"/>
        <w:gridCol w:w="1810"/>
        <w:gridCol w:w="1819"/>
        <w:gridCol w:w="211"/>
        <w:gridCol w:w="721"/>
        <w:gridCol w:w="109"/>
        <w:gridCol w:w="109"/>
        <w:gridCol w:w="109"/>
        <w:gridCol w:w="109"/>
        <w:gridCol w:w="211"/>
        <w:gridCol w:w="826"/>
        <w:gridCol w:w="109"/>
        <w:gridCol w:w="109"/>
        <w:gridCol w:w="109"/>
        <w:gridCol w:w="109"/>
        <w:gridCol w:w="211"/>
        <w:gridCol w:w="82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of diluted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tbl>
      <w:tblPr>
        <w:tblW w:w="4241" w:type="dxa"/>
        <w:jc w:val="center"/>
        <w:tblInd w:w="0" w:type="dxa"/>
        <w:tblLayout w:type="fixed"/>
        <w:tblCellMar>
          <w:top w:w="28" w:type="dxa"/>
          <w:left w:w="28" w:type="dxa"/>
          <w:bottom w:w="28" w:type="dxa"/>
          <w:right w:w="28" w:type="dxa"/>
        </w:tblCellMar>
      </w:tblPr>
      <w:tblGrid>
        <w:gridCol w:w="614"/>
        <w:gridCol w:w="540"/>
        <w:gridCol w:w="541"/>
        <w:gridCol w:w="175"/>
        <w:gridCol w:w="175"/>
        <w:gridCol w:w="176"/>
        <w:gridCol w:w="152"/>
        <w:gridCol w:w="152"/>
        <w:gridCol w:w="152"/>
        <w:gridCol w:w="180"/>
        <w:gridCol w:w="181"/>
        <w:gridCol w:w="176"/>
        <w:gridCol w:w="152"/>
        <w:gridCol w:w="152"/>
        <w:gridCol w:w="152"/>
        <w:gridCol w:w="167"/>
        <w:gridCol w:w="167"/>
        <w:gridCol w:w="237"/>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35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In 2023, 2022, and 2021, the Company incurred an immaterial amount in expenses. The Company had an immaterial payable balance at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$1.2 million, $1.8 million and $0.7 million, respectively, for the years ended December 31, 2023, 2022 and 2021. Accounts receivable due from these entities was an immaterial amount at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WSG acquisition on June 8, 2021, the Company continued to rent WSG's headquarters. The Chief Executive Officer and Founder of WSG, who is currently a business unit president with the Company, was an agent of the lessor. The lease for WSGs headquarters was terminated at the end of the first quarter of 2023. The Company paid an immaterial amount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 for these premises for the years ended December 31, 2023, 2022 and 2021, and had no payable balance at December 31, 2023 or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third and final installment of $2.6 million, including interest, was paid in the first quarter of 2022. See Note 4 -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2021, the Company modified its disclosures of reportable segments to better align with its management structure and to reflect how the operating results are regularly reviewed by the chief operating decision maker, resulting in two reportable segments, Nurse and Allied Staffing and Physician Staffing. The Company’s segments offer services to its customers as described below: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Nurse and Allied Staffing - </w:t>
      </w:r>
      <w:r>
        <w:rPr>
          <w:rFonts w:ascii="Times New Roman;sans-serif" w:hAnsi="Times New Roman;sans-serif"/>
          <w:b w:val="false"/>
          <w:color w:val="000000"/>
          <w:sz w:val="20"/>
        </w:rPr>
        <w:t>Nurse and Allied Staffing provides traditional staffing, recruiting, and value-added total talent solutions including: temporary and permanent placement of travel and local nurse and allied professionals, and healthcare leaders within nursing, allied, physician,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facilities to manage all or a portion of their agency services. Its customers include: public and private acute-care and non-acute care hospitals, government facilities, local and national healthcare plans, managed care providers, public schools and charter schools, academic medical centers, Programs of All-Inclusive Care for the Elderly (PACE) programs, outpatient clinics, ambulatory care facilities, physician practice groups, and many other healthcare providers throughout the United States.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Physician Staffing -</w:t>
      </w:r>
      <w:r>
        <w:rPr>
          <w:color w:val="000000"/>
        </w:rPr>
        <w:t xml:space="preserve"> </w:t>
      </w:r>
      <w:r>
        <w:rPr>
          <w:rFonts w:ascii="Times New Roman;sans-serif" w:hAnsi="Times New Roman;sans-serif"/>
          <w:b w:val="false"/>
          <w:color w:val="000000"/>
          <w:sz w:val="20"/>
        </w:rPr>
        <w:t>Physician Staffing provides physicians in many specialties, as well as certified registered nurse anesthetists, nurse 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Segment Data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operating segments and a reconciliation to income from operations for the periods indicated are as follows:</w:t>
      </w:r>
    </w:p>
    <w:tbl>
      <w:tblPr>
        <w:tblW w:w="7181" w:type="dxa"/>
        <w:jc w:val="left"/>
        <w:tblInd w:w="0" w:type="dxa"/>
        <w:tblLayout w:type="fixed"/>
        <w:tblCellMar>
          <w:top w:w="28" w:type="dxa"/>
          <w:left w:w="28" w:type="dxa"/>
          <w:bottom w:w="28" w:type="dxa"/>
          <w:right w:w="28" w:type="dxa"/>
        </w:tblCellMar>
      </w:tblPr>
      <w:tblGrid>
        <w:gridCol w:w="940"/>
        <w:gridCol w:w="823"/>
        <w:gridCol w:w="831"/>
        <w:gridCol w:w="211"/>
        <w:gridCol w:w="976"/>
        <w:gridCol w:w="109"/>
        <w:gridCol w:w="109"/>
        <w:gridCol w:w="109"/>
        <w:gridCol w:w="109"/>
        <w:gridCol w:w="211"/>
        <w:gridCol w:w="976"/>
        <w:gridCol w:w="109"/>
        <w:gridCol w:w="109"/>
        <w:gridCol w:w="109"/>
        <w:gridCol w:w="109"/>
        <w:gridCol w:w="211"/>
        <w:gridCol w:w="97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costs</w:t>
            </w:r>
            <w:r>
              <w:rPr>
                <w:rFonts w:ascii="Times New Roman;sans-serif" w:hAnsi="Times New Roman;sans-serif"/>
                <w:b w:val="false"/>
                <w:color w:val="000000"/>
                <w:sz w:val="13"/>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Other costs include acquisition and integration-related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18.</w:t>
      </w:r>
      <w:r>
        <w:rPr>
          <w:color w:val="000000"/>
          <w:shd w:fill="FFFFFF" w:val="clear"/>
        </w:rPr>
        <w:t xml:space="preserve"> </w:t>
      </w:r>
      <w:r>
        <w:rPr>
          <w:rFonts w:ascii="Times New Roman;sans-serif" w:hAnsi="Times New Roman;sans-serif"/>
          <w:b/>
          <w:color w:val="000000"/>
          <w:sz w:val="20"/>
          <w:shd w:fill="FFFFFF" w:val="clear"/>
        </w:rPr>
        <w:t xml:space="preserve">Quarterly Financial Data </w:t>
      </w: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contain selected unaudited statements of operations and comprehensive income information for each quarter of 2023 and 2022. The following information reflects all normal recurring adjustments necessary for a fair presentation of the information for the periods presented. The operating results for any quarter are not necessarily indicative of results for any future period. </w:t>
      </w:r>
    </w:p>
    <w:tbl>
      <w:tblPr>
        <w:tblW w:w="10205" w:type="dxa"/>
        <w:jc w:val="left"/>
        <w:tblInd w:w="0" w:type="dxa"/>
        <w:tblLayout w:type="fixed"/>
        <w:tblCellMar>
          <w:top w:w="28" w:type="dxa"/>
          <w:left w:w="28" w:type="dxa"/>
          <w:bottom w:w="28" w:type="dxa"/>
          <w:right w:w="28" w:type="dxa"/>
        </w:tblCellMar>
      </w:tblPr>
      <w:tblGrid>
        <w:gridCol w:w="1815"/>
        <w:gridCol w:w="1592"/>
        <w:gridCol w:w="160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br/>
              <w:t>Quarter</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5192"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profit</w:t>
            </w:r>
            <w:r>
              <w:rPr>
                <w:rFonts w:ascii="Times New Roman;sans-serif" w:hAnsi="Times New Roman;sans-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share attributable to common stockholders - Basic</w:t>
            </w:r>
            <w:r>
              <w:rPr>
                <w:rFonts w:ascii="Times New Roman;sans-serif" w:hAnsi="Times New Roman;sans-serif"/>
                <w:b w:val="false"/>
                <w:color w:val="000000"/>
                <w:sz w:val="12"/>
              </w:rPr>
              <w:t>(b)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share attributable to common stockholders - Diluted</w:t>
            </w:r>
            <w:r>
              <w:rPr>
                <w:rFonts w:ascii="Times New Roman;sans-serif" w:hAnsi="Times New Roman;sans-serif"/>
                <w:b w:val="false"/>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7"/>
        <w:gridCol w:w="1591"/>
        <w:gridCol w:w="160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1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Fourth</w:t>
              <w:br/>
              <w:t>Quarter</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5191"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 except per share data)</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Gross profit</w:t>
            </w:r>
            <w:r>
              <w:rPr>
                <w:rFonts w:ascii="Times New Roman;sans-serif" w:hAnsi="Times New Roman;sans-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per share attributable to common stockholders - Basic</w:t>
            </w:r>
            <w:r>
              <w:rPr>
                <w:rFonts w:ascii="Times New Roman;sans-serif" w:hAnsi="Times New Roman;sans-serif"/>
                <w:b w:val="false"/>
                <w:color w:val="000000"/>
                <w:sz w:val="12"/>
              </w:rPr>
              <w:t>(b)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income per share attributable to common stockholders - Diluted </w:t>
            </w:r>
            <w:r>
              <w:rPr>
                <w:rFonts w:ascii="Times New Roman;sans-serif" w:hAnsi="Times New Roman;sans-serif"/>
                <w:b w:val="false"/>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Excludes depreciation and amortization.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The sum of the quarterly per share amounts may not equal amounts reported for year-to-date due to the effects of rounding and changes in the number of weighted average shares outstanding used in the calculation.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items are the most significant items that impact the comparability and presentation of our consolidated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first and third quarters of 2022, the Company recorded impairment charges of $1.7 million and $2.0 million, respectively, related to right-of-use assets and related property in connection with vacated leases, and $1.9 million related to the write-off of an IT project in the third quarter. See Note 5 - Goodwill, Trade Names, and Other Intangible Assets and Note 9 - Leases.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 December 13, 2022, the Company acquired Hireup Leadership Inc. and on October 3, 2022, the Company acquired Mint Medical Physician Staffing, LP and Lotus Medical Staffing LLC. The acquisitions were not material and have been accounted for using the acquisition method. The results of the acquisitions' operations have been included in the consolidated statements of operations and comprehensive income from their dates of acquisition. See Note 4 -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incurred restructuring costs primarily comprised of employee termination costs, lease-related exit costs, and reorganization costs as part of planned cost savings initiatives. The Company recorded expenses of $0.9 million in both the second and fourth quarters of 2023. In 2022, the Company recorded a benefit of $1.1 million associated with the early termination of the lease for one of the Company's corporate offices in the second quarter, which was previously restructured, and recorded expenses in the third quarter of $2.5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recorded loss on early extinguishment of debt of $1.7 million in the second quarter of 2023, consisting of the write-off of debt issuance costs related to the payoff and termination of the term loan on June 30, 2023. In the second and fourth quarters of 2022, the Company recorded loss on early extinguishment of debt of $1.9 million and $1.8 million, respectively, consisting of a prepayment premium and the write-off of debt issuance costs related to the optional prepayments on its term loan. See Note 8 - Debt.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second quarter of 2022, the Company recognized a gain on lease termination of $1.1 million as a result of the early termination of the lease for one of the Company's corporate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18.</w:t>
      </w:r>
      <w:r>
        <w:rPr>
          <w:color w:val="000000"/>
          <w:shd w:fill="FFFFFF" w:val="clear"/>
        </w:rPr>
        <w:t xml:space="preserve"> </w:t>
      </w:r>
      <w:r>
        <w:rPr>
          <w:rFonts w:ascii="Times New Roman;sans-serif" w:hAnsi="Times New Roman;sans-serif"/>
          <w:b/>
          <w:color w:val="000000"/>
          <w:sz w:val="20"/>
          <w:shd w:fill="FFFFFF" w:val="clear"/>
        </w:rPr>
        <w:t xml:space="preserve">Quarterly Financial Data </w:t>
      </w:r>
      <w:r>
        <w:rPr>
          <w:rFonts w:ascii="Times New Roman;sans-serif" w:hAnsi="Times New Roman;sans-serif"/>
          <w:b/>
          <w:color w:val="000000"/>
          <w:sz w:val="20"/>
        </w:rPr>
        <w:t>(Unaudited) (continued)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first quarter of 2023, the Company incurred $1.1 million, including legal fees, to settle a wage and hour class action lawsuit.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F- 43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2023, 2022, AND 2021</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23"/>
        <w:gridCol w:w="722"/>
        <w:gridCol w:w="726"/>
        <w:gridCol w:w="196"/>
        <w:gridCol w:w="646"/>
        <w:gridCol w:w="109"/>
        <w:gridCol w:w="109"/>
        <w:gridCol w:w="109"/>
        <w:gridCol w:w="109"/>
        <w:gridCol w:w="394"/>
        <w:gridCol w:w="1418"/>
        <w:gridCol w:w="219"/>
        <w:gridCol w:w="109"/>
        <w:gridCol w:w="109"/>
        <w:gridCol w:w="109"/>
        <w:gridCol w:w="319"/>
        <w:gridCol w:w="1149"/>
        <w:gridCol w:w="177"/>
        <w:gridCol w:w="109"/>
        <w:gridCol w:w="109"/>
        <w:gridCol w:w="109"/>
        <w:gridCol w:w="109"/>
        <w:gridCol w:w="109"/>
        <w:gridCol w:w="215"/>
        <w:gridCol w:w="445"/>
        <w:gridCol w:w="121"/>
        <w:gridCol w:w="109"/>
        <w:gridCol w:w="109"/>
        <w:gridCol w:w="109"/>
        <w:gridCol w:w="196"/>
        <w:gridCol w:w="646"/>
        <w:gridCol w:w="158"/>
      </w:tblGrid>
      <w:tr>
        <w:trPr/>
        <w:tc>
          <w:tcPr>
            <w:tcW w:w="82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to (Released from) Operations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Write-Offs,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br/>
              <w:t>Changes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End</w:t>
              <w:br/>
              <w:t>of Period</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7" w:type="dxa"/>
            <w:gridSpan w:val="2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1327" w:type="dxa"/>
            <w:gridSpan w:val="6"/>
            <w:tcBorders/>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Allowances for Accounts Receivable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Valuation Allowance for Deferred Tax Assets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Uncollectible accounts written off, net of recoveries.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II- 1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left"/>
        <w:rPr/>
      </w:pPr>
      <w:r>
        <w:rPr/>
      </w:r>
    </w:p>
    <w:tbl>
      <w:tblPr>
        <w:tblW w:w="6566" w:type="dxa"/>
        <w:jc w:val="center"/>
        <w:tblInd w:w="0" w:type="dxa"/>
        <w:tblLayout w:type="fixed"/>
        <w:tblCellMar>
          <w:top w:w="28" w:type="dxa"/>
          <w:left w:w="28" w:type="dxa"/>
          <w:bottom w:w="28" w:type="dxa"/>
          <w:right w:w="28" w:type="dxa"/>
        </w:tblCellMar>
      </w:tblPr>
      <w:tblGrid>
        <w:gridCol w:w="1508"/>
        <w:gridCol w:w="1327"/>
        <w:gridCol w:w="1335"/>
        <w:gridCol w:w="109"/>
        <w:gridCol w:w="109"/>
        <w:gridCol w:w="109"/>
        <w:gridCol w:w="605"/>
        <w:gridCol w:w="605"/>
        <w:gridCol w:w="859"/>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Place of Incorporation</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America,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Cejka Search,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Credent Verification and Licensing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DAS,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Cross Country Holdco (Cyprus) Limited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Cyprus</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Infotech, Pvt.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Staffing,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 Country Tech,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Intellify Talent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Doctor Associates,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Mediscan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Staff,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before="0" w:after="0"/>
        <w:jc w:val="center"/>
        <w:rPr/>
      </w:pPr>
      <w:r>
        <w:rPr/>
      </w:r>
    </w:p>
    <w:p>
      <w:pPr>
        <w:pStyle w:val="TextBody"/>
        <w:bidi w:val="0"/>
        <w:spacing w:before="160" w:after="283"/>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We consent to the incorporation by reference in Registration Statement Nos. 333-74862, 333-145484, 333-188519, 333-196639, 333-218557 and 333-238719 on Form S-8 and Registration Statement No. 333-263433 on Form S-3 of our report dated February 22, 2024, relating to the consolidated financial statements of Cross Country Healthcare, Inc. and subsidiaries, and the effectiveness of Cross Country Healthcare, Inc. and subsidiaries’</w:t>
      </w:r>
      <w:r>
        <w:rPr>
          <w:color w:val="3B3A3B"/>
        </w:rPr>
        <w:t xml:space="preserve"> </w:t>
      </w:r>
      <w:r>
        <w:rPr>
          <w:rFonts w:ascii="Times New Roman;sans-serif" w:hAnsi="Times New Roman;sans-serif"/>
          <w:b w:val="false"/>
          <w:color w:val="000000"/>
          <w:sz w:val="20"/>
        </w:rPr>
        <w:t xml:space="preserve">internal control over financial reporting, appearing in this Annual Report on Form 10-K for the year ended December 31, 2023. </w:t>
      </w:r>
    </w:p>
    <w:p>
      <w:pPr>
        <w:pStyle w:val="TextBody"/>
        <w:bidi w:val="0"/>
        <w:spacing w:before="0" w:after="0"/>
        <w:jc w:val="center"/>
        <w:rPr/>
      </w:pPr>
      <w:r>
        <w:rPr/>
      </w:r>
    </w:p>
    <w:tbl>
      <w:tblPr>
        <w:tblW w:w="2309" w:type="dxa"/>
        <w:jc w:val="center"/>
        <w:tblInd w:w="0" w:type="dxa"/>
        <w:tblLayout w:type="fixed"/>
        <w:tblCellMar>
          <w:top w:w="28" w:type="dxa"/>
          <w:left w:w="28" w:type="dxa"/>
          <w:bottom w:w="28" w:type="dxa"/>
          <w:right w:w="28" w:type="dxa"/>
        </w:tblCellMar>
      </w:tblPr>
      <w:tblGrid>
        <w:gridCol w:w="738"/>
        <w:gridCol w:w="648"/>
        <w:gridCol w:w="92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John A. Martins, certify that: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20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893"/>
        <w:gridCol w:w="893"/>
        <w:gridCol w:w="127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Burns, certify that:</w:t>
      </w:r>
    </w:p>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Cross Country Healthcare,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643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251"/>
        <w:gridCol w:w="1251"/>
        <w:gridCol w:w="17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on Form 10-K of Cross Country Healthcare, Inc. (the Company) for the year ended December 31, 2023, (the "Periodic Report"), I, John A. Martins,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5098"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849"/>
        <w:gridCol w:w="849"/>
        <w:gridCol w:w="121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Chief Executive Officer</w:t>
              <w:br/>
              <w:t>(Principal Executive Officer)</w:t>
            </w:r>
          </w:p>
        </w:tc>
      </w:tr>
    </w:tbl>
    <w:p>
      <w:pPr>
        <w:pStyle w:val="TextBody"/>
        <w:bidi w:val="0"/>
        <w:spacing w:before="0" w:after="0"/>
        <w:ind w:left="0" w:right="0" w:firstLine="72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on Form 10-K of Cross Country Healthcare, Inc. (the "Company") for the year ended December 31, 2023,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628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207"/>
        <w:gridCol w:w="1207"/>
        <w:gridCol w:w="17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Chief Financial Officer</w:t>
              <w:br/>
              <w:t>(Principal Financial Officer)</w:t>
            </w:r>
          </w:p>
        </w:tc>
      </w:tr>
    </w:tbl>
    <w:p>
      <w:pPr>
        <w:pStyle w:val="TextBody"/>
        <w:bidi w:val="0"/>
        <w:spacing w:before="0" w:after="0"/>
        <w:jc w:val="both"/>
        <w:rPr/>
      </w:pPr>
      <w:r>
        <w:rPr/>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20" w:after="120"/>
        <w:jc w:val="left"/>
        <w:rPr/>
      </w:pPr>
      <w:r>
        <w:rPr/>
        <w:drawing>
          <wp:inline distT="0" distB="0" distL="0" distR="0">
            <wp:extent cx="1828800" cy="73342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51"/>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0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 descr=""/>
                    <pic:cNvPicPr>
                      <a:picLocks noChangeAspect="1" noChangeArrowheads="1"/>
                    </pic:cNvPicPr>
                  </pic:nvPicPr>
                  <pic:blipFill>
                    <a:blip r:embed="rId52"/>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8" w:before="0" w:after="0"/>
        <w:jc w:val="right"/>
        <w:rPr>
          <w:rFonts w:ascii="Calibri;sans-serif" w:hAnsi="Calibri;sans-serif"/>
          <w:b/>
          <w:color w:val="000000"/>
          <w:sz w:val="24"/>
        </w:rPr>
      </w:pPr>
      <w:r>
        <w:rPr>
          <w:rFonts w:ascii="Calibri;sans-serif" w:hAnsi="Calibri;sans-serif"/>
          <w:b/>
          <w:color w:val="000000"/>
          <w:sz w:val="24"/>
        </w:rPr>
        <w:t>Exhibit 97.1</w:t>
      </w:r>
    </w:p>
    <w:p>
      <w:pPr>
        <w:pStyle w:val="TextBody"/>
        <w:bidi w:val="0"/>
        <w:spacing w:lineRule="auto" w:line="348" w:before="240" w:after="240"/>
        <w:jc w:val="center"/>
        <w:rPr>
          <w:rFonts w:ascii="Calibri;sans-serif" w:hAnsi="Calibri;sans-serif"/>
          <w:b/>
          <w:color w:val="000000"/>
          <w:sz w:val="24"/>
        </w:rPr>
      </w:pPr>
      <w:r>
        <w:rPr>
          <w:rFonts w:ascii="Calibri;sans-serif" w:hAnsi="Calibri;sans-serif"/>
          <w:b/>
          <w:color w:val="000000"/>
          <w:sz w:val="24"/>
        </w:rPr>
        <w:t>CROSS COUNTRY HEALTHCARE, INC.</w:t>
      </w:r>
    </w:p>
    <w:p>
      <w:pPr>
        <w:pStyle w:val="TextBody"/>
        <w:bidi w:val="0"/>
        <w:spacing w:lineRule="auto" w:line="348" w:before="240" w:after="240"/>
        <w:jc w:val="center"/>
        <w:rPr>
          <w:rFonts w:ascii="Calibri;sans-serif" w:hAnsi="Calibri;sans-serif"/>
          <w:b/>
          <w:color w:val="000000"/>
          <w:sz w:val="24"/>
        </w:rPr>
      </w:pPr>
      <w:r>
        <w:rPr>
          <w:rFonts w:ascii="Calibri;sans-serif" w:hAnsi="Calibri;sans-serif"/>
          <w:b/>
          <w:color w:val="000000"/>
          <w:sz w:val="24"/>
        </w:rPr>
        <w:t>COMPENSATION RECOUPMENT POLICY</w:t>
      </w:r>
    </w:p>
    <w:p>
      <w:pPr>
        <w:pStyle w:val="TextBody"/>
        <w:bidi w:val="0"/>
        <w:spacing w:lineRule="auto" w:line="348" w:before="240" w:after="240"/>
        <w:jc w:val="both"/>
        <w:rPr>
          <w:rFonts w:ascii="Calibri;sans-serif" w:hAnsi="Calibri;sans-serif"/>
          <w:b/>
          <w:color w:val="000000"/>
          <w:sz w:val="24"/>
        </w:rPr>
      </w:pPr>
      <w:r>
        <w:rPr>
          <w:rFonts w:ascii="Calibri;sans-serif" w:hAnsi="Calibri;sans-serif"/>
          <w:b/>
          <w:color w:val="000000"/>
          <w:sz w:val="24"/>
        </w:rPr>
        <w:t>Effective as of December 1, 2023</w:t>
      </w:r>
    </w:p>
    <w:p>
      <w:pPr>
        <w:pStyle w:val="TextBody"/>
        <w:bidi w:val="0"/>
        <w:spacing w:lineRule="auto" w:line="240" w:before="0" w:after="0"/>
        <w:ind w:left="0" w:right="0" w:hanging="360"/>
        <w:jc w:val="both"/>
        <w:rPr/>
      </w:pPr>
      <w:r>
        <w:rPr>
          <w:rFonts w:ascii="Calibri;sans-serif" w:hAnsi="Calibri;sans-serif"/>
          <w:b/>
          <w:color w:val="000000"/>
          <w:sz w:val="24"/>
        </w:rPr>
        <w:t>I.</w:t>
      </w:r>
      <w:r>
        <w:rPr>
          <w:rFonts w:ascii="Calibri;sans-serif" w:hAnsi="Calibri;sans-serif"/>
          <w:b/>
          <w:color w:val="000000"/>
          <w:sz w:val="24"/>
          <w:u w:val="single"/>
        </w:rPr>
        <w:t>Introduction</w:t>
      </w:r>
    </w:p>
    <w:p>
      <w:pPr>
        <w:pStyle w:val="TextBody"/>
        <w:bidi w:val="0"/>
        <w:spacing w:lineRule="auto" w:line="240" w:before="120" w:after="120"/>
        <w:jc w:val="both"/>
        <w:rPr/>
      </w:pPr>
      <w:r>
        <w:rPr>
          <w:rFonts w:ascii="Calibri;sans-serif" w:hAnsi="Calibri;sans-serif"/>
          <w:b w:val="false"/>
          <w:color w:val="000000"/>
          <w:sz w:val="24"/>
        </w:rPr>
        <w:t>The Board of Directors (the “</w:t>
      </w:r>
      <w:r>
        <w:rPr>
          <w:rFonts w:ascii="Calibri;sans-serif" w:hAnsi="Calibri;sans-serif"/>
          <w:b/>
          <w:color w:val="000000"/>
          <w:sz w:val="24"/>
        </w:rPr>
        <w:t>Board</w:t>
      </w:r>
      <w:r>
        <w:rPr>
          <w:color w:val="000000"/>
        </w:rPr>
        <w:t>”</w:t>
      </w:r>
      <w:r>
        <w:rPr>
          <w:rFonts w:ascii="Calibri;sans-serif" w:hAnsi="Calibri;sans-serif"/>
          <w:b w:val="false"/>
          <w:color w:val="000000"/>
          <w:sz w:val="24"/>
        </w:rPr>
        <w:t>) of Cross Country Healthcare, Inc. (the “</w:t>
      </w:r>
      <w:r>
        <w:rPr>
          <w:rFonts w:ascii="Calibri;sans-serif" w:hAnsi="Calibri;sans-serif"/>
          <w:b/>
          <w:color w:val="000000"/>
          <w:sz w:val="24"/>
        </w:rPr>
        <w:t>Company</w:t>
      </w:r>
      <w:r>
        <w:rPr>
          <w:color w:val="000000"/>
        </w:rPr>
        <w:t>”</w:t>
      </w:r>
      <w:r>
        <w:rPr>
          <w:rFonts w:ascii="Calibri;sans-serif" w:hAnsi="Calibri;sans-serif"/>
          <w:b w:val="false"/>
          <w:color w:val="000000"/>
          <w:sz w:val="24"/>
        </w:rPr>
        <w:t>) believes that it is in the best interests of the Company and its stockholders to create and maintain a culture that emphasizes integrity and accountability and that reinforces the Company’s pay-for-performance compensation philosophy. The Board and the Compensation Committee of the Board (the “</w:t>
      </w:r>
      <w:r>
        <w:rPr>
          <w:rFonts w:ascii="Calibri;sans-serif" w:hAnsi="Calibri;sans-serif"/>
          <w:b/>
          <w:color w:val="000000"/>
          <w:sz w:val="24"/>
        </w:rPr>
        <w:t>Compensation Committee</w:t>
      </w:r>
      <w:r>
        <w:rPr>
          <w:color w:val="000000"/>
        </w:rPr>
        <w:t>”</w:t>
      </w:r>
      <w:r>
        <w:rPr>
          <w:rFonts w:ascii="Calibri;sans-serif" w:hAnsi="Calibri;sans-serif"/>
          <w:b w:val="false"/>
          <w:color w:val="000000"/>
          <w:sz w:val="24"/>
        </w:rPr>
        <w:t>) have therefore adopted this Compensation Recoupment Policy (this “</w:t>
      </w:r>
      <w:r>
        <w:rPr>
          <w:rFonts w:ascii="Calibri;sans-serif" w:hAnsi="Calibri;sans-serif"/>
          <w:b/>
          <w:color w:val="000000"/>
          <w:sz w:val="24"/>
        </w:rPr>
        <w:t>Policy</w:t>
      </w:r>
      <w:r>
        <w:rPr>
          <w:color w:val="000000"/>
        </w:rPr>
        <w:t>”</w:t>
      </w:r>
      <w:r>
        <w:rPr>
          <w:rFonts w:ascii="Calibri;sans-serif" w:hAnsi="Calibri;sans-serif"/>
          <w:b w:val="false"/>
          <w:color w:val="000000"/>
          <w:sz w:val="24"/>
        </w:rPr>
        <w:t>) in order to implement a mandatory clawback policy in the event of a Restatement in compliance with the Applicable Rules, as well as to provide the Compensation Committee with discretion to recoup certain compensation in circumstances involving misconduct, as set forth in Section IX of this Policy. All capitalized terms used, but not immediate defined, in this Policy have the meanings set forth in Section III.</w:t>
      </w:r>
    </w:p>
    <w:p>
      <w:pPr>
        <w:pStyle w:val="TextBody"/>
        <w:bidi w:val="0"/>
        <w:spacing w:lineRule="auto" w:line="240" w:before="0" w:after="0"/>
        <w:ind w:left="0" w:right="0" w:hanging="360"/>
        <w:jc w:val="both"/>
        <w:rPr/>
      </w:pPr>
      <w:r>
        <w:rPr>
          <w:rFonts w:ascii="Calibri;sans-serif" w:hAnsi="Calibri;sans-serif"/>
          <w:b/>
          <w:color w:val="000000"/>
          <w:sz w:val="24"/>
        </w:rPr>
        <w:t>II.</w:t>
      </w:r>
      <w:r>
        <w:rPr>
          <w:rFonts w:ascii="Calibri;sans-serif" w:hAnsi="Calibri;sans-serif"/>
          <w:b/>
          <w:color w:val="000000"/>
          <w:sz w:val="24"/>
          <w:u w:val="single"/>
        </w:rPr>
        <w:t>Effective Date</w:t>
      </w:r>
    </w:p>
    <w:p>
      <w:pPr>
        <w:pStyle w:val="TextBody"/>
        <w:bidi w:val="0"/>
        <w:spacing w:lineRule="auto" w:line="240" w:before="120" w:after="120"/>
        <w:jc w:val="both"/>
        <w:rPr/>
      </w:pPr>
      <w:r>
        <w:rPr>
          <w:rFonts w:ascii="Calibri;sans-serif" w:hAnsi="Calibri;sans-serif"/>
          <w:b w:val="false"/>
          <w:color w:val="000000"/>
          <w:sz w:val="24"/>
        </w:rPr>
        <w:t>This Policy shall be effective as of December 1, 2023 (the “</w:t>
      </w:r>
      <w:r>
        <w:rPr>
          <w:rFonts w:ascii="Calibri;sans-serif" w:hAnsi="Calibri;sans-serif"/>
          <w:b/>
          <w:color w:val="000000"/>
          <w:sz w:val="24"/>
        </w:rPr>
        <w:t>Effective Date</w:t>
      </w:r>
      <w:r>
        <w:rPr>
          <w:color w:val="000000"/>
        </w:rPr>
        <w:t>”</w:t>
      </w:r>
      <w:r>
        <w:rPr>
          <w:rFonts w:ascii="Calibri;sans-serif" w:hAnsi="Calibri;sans-serif"/>
          <w:b w:val="false"/>
          <w:color w:val="000000"/>
          <w:sz w:val="24"/>
        </w:rPr>
        <w:t xml:space="preserve">), and supersedes any and all prior clawback or recoupment policies as of the Effective Date. </w:t>
      </w:r>
    </w:p>
    <w:p>
      <w:pPr>
        <w:pStyle w:val="TextBody"/>
        <w:bidi w:val="0"/>
        <w:spacing w:lineRule="auto" w:line="240" w:before="0" w:after="0"/>
        <w:ind w:left="0" w:right="0" w:hanging="360"/>
        <w:jc w:val="both"/>
        <w:rPr/>
      </w:pPr>
      <w:r>
        <w:rPr>
          <w:rFonts w:ascii="Calibri;sans-serif" w:hAnsi="Calibri;sans-serif"/>
          <w:b/>
          <w:color w:val="000000"/>
          <w:sz w:val="24"/>
        </w:rPr>
        <w:t>III.</w:t>
      </w:r>
      <w:r>
        <w:rPr>
          <w:rFonts w:ascii="Calibri;sans-serif" w:hAnsi="Calibri;sans-serif"/>
          <w:b/>
          <w:color w:val="000000"/>
          <w:sz w:val="24"/>
          <w:u w:val="single"/>
        </w:rPr>
        <w:t>Defined Terms</w:t>
      </w:r>
    </w:p>
    <w:p>
      <w:pPr>
        <w:pStyle w:val="TextBody"/>
        <w:bidi w:val="0"/>
        <w:spacing w:lineRule="auto" w:line="240" w:before="120" w:after="120"/>
        <w:ind w:left="0" w:right="0" w:hanging="360"/>
        <w:jc w:val="both"/>
        <w:rPr/>
      </w:pPr>
      <w:r>
        <w:rPr>
          <w:rFonts w:ascii="Calibri;sans-serif" w:hAnsi="Calibri;sans-serif"/>
          <w:b w:val="false"/>
          <w:color w:val="000000"/>
          <w:sz w:val="24"/>
        </w:rPr>
        <w:t>a.</w:t>
      </w:r>
      <w:r>
        <w:rPr>
          <w:color w:val="000000"/>
        </w:rPr>
        <w:t>“</w:t>
      </w:r>
      <w:r>
        <w:rPr>
          <w:rFonts w:ascii="Calibri;sans-serif" w:hAnsi="Calibri;sans-serif"/>
          <w:b/>
          <w:color w:val="000000"/>
          <w:sz w:val="24"/>
        </w:rPr>
        <w:t>Applicable Rules</w:t>
      </w:r>
      <w:r>
        <w:rPr>
          <w:color w:val="000000"/>
        </w:rPr>
        <w:t xml:space="preserve">” </w:t>
      </w:r>
      <w:r>
        <w:rPr>
          <w:rFonts w:ascii="Calibri;sans-serif" w:hAnsi="Calibri;sans-serif"/>
          <w:b w:val="false"/>
          <w:color w:val="000000"/>
          <w:sz w:val="24"/>
        </w:rPr>
        <w:t>means Section 10D of the Exchange Act and Rule 10D-1 promulgated thereunder, Listing Rule 5608 of the Listing Rules of The Nasdaq Stock Market (“</w:t>
      </w:r>
      <w:r>
        <w:rPr>
          <w:rFonts w:ascii="Calibri;sans-serif" w:hAnsi="Calibri;sans-serif"/>
          <w:b/>
          <w:color w:val="000000"/>
          <w:sz w:val="24"/>
        </w:rPr>
        <w:t>Nasdaq</w:t>
      </w:r>
      <w:r>
        <w:rPr>
          <w:color w:val="000000"/>
        </w:rPr>
        <w:t>”</w:t>
      </w:r>
      <w:r>
        <w:rPr>
          <w:rFonts w:ascii="Calibri;sans-serif" w:hAnsi="Calibri;sans-serif"/>
          <w:b w:val="false"/>
          <w:color w:val="000000"/>
          <w:sz w:val="24"/>
        </w:rPr>
        <w:t>), and any other national stock exchange rules that the Company is or may become subject to.</w:t>
      </w:r>
    </w:p>
    <w:p>
      <w:pPr>
        <w:pStyle w:val="TextBody"/>
        <w:bidi w:val="0"/>
        <w:spacing w:lineRule="auto" w:line="240" w:before="120" w:after="120"/>
        <w:ind w:left="0" w:right="0" w:hanging="360"/>
        <w:jc w:val="both"/>
        <w:rPr/>
      </w:pPr>
      <w:r>
        <w:rPr>
          <w:rFonts w:ascii="Calibri;sans-serif" w:hAnsi="Calibri;sans-serif"/>
          <w:b w:val="false"/>
          <w:color w:val="000000"/>
          <w:sz w:val="24"/>
        </w:rPr>
        <w:t>b.</w:t>
      </w:r>
      <w:r>
        <w:rPr>
          <w:color w:val="000000"/>
        </w:rPr>
        <w:t>“</w:t>
      </w:r>
      <w:r>
        <w:rPr>
          <w:rFonts w:ascii="Calibri;sans-serif" w:hAnsi="Calibri;sans-serif"/>
          <w:b/>
          <w:color w:val="000000"/>
          <w:sz w:val="24"/>
        </w:rPr>
        <w:t>Clawback Compensation</w:t>
      </w:r>
      <w:r>
        <w:rPr>
          <w:color w:val="000000"/>
        </w:rPr>
        <w:t xml:space="preserve">” </w:t>
      </w:r>
      <w:r>
        <w:rPr>
          <w:rFonts w:ascii="Calibri;sans-serif" w:hAnsi="Calibri;sans-serif"/>
          <w:b w:val="false"/>
          <w:color w:val="000000"/>
          <w:sz w:val="24"/>
        </w:rPr>
        <w:t>means Incentive-Based Compensation or any other recovered incentive compensation, in each case as determined to be subject to repayment pursuant to this Policy.</w:t>
      </w:r>
    </w:p>
    <w:p>
      <w:pPr>
        <w:pStyle w:val="TextBody"/>
        <w:bidi w:val="0"/>
        <w:spacing w:lineRule="auto" w:line="240" w:before="120" w:after="120"/>
        <w:ind w:left="0" w:right="0" w:hanging="360"/>
        <w:jc w:val="both"/>
        <w:rPr/>
      </w:pPr>
      <w:r>
        <w:rPr>
          <w:rFonts w:ascii="Calibri;sans-serif" w:hAnsi="Calibri;sans-serif"/>
          <w:b w:val="false"/>
          <w:color w:val="000000"/>
          <w:sz w:val="24"/>
        </w:rPr>
        <w:t>c.</w:t>
      </w:r>
      <w:r>
        <w:rPr>
          <w:color w:val="000000"/>
        </w:rPr>
        <w:t>“</w:t>
      </w:r>
      <w:r>
        <w:rPr>
          <w:rFonts w:ascii="Calibri;sans-serif" w:hAnsi="Calibri;sans-serif"/>
          <w:b/>
          <w:color w:val="000000"/>
          <w:sz w:val="24"/>
        </w:rPr>
        <w:t>Clawback Event</w:t>
      </w:r>
      <w:r>
        <w:rPr>
          <w:color w:val="000000"/>
        </w:rPr>
        <w:t xml:space="preserve">” </w:t>
      </w:r>
      <w:r>
        <w:rPr>
          <w:rFonts w:ascii="Calibri;sans-serif" w:hAnsi="Calibri;sans-serif"/>
          <w:b w:val="false"/>
          <w:color w:val="000000"/>
          <w:sz w:val="24"/>
        </w:rPr>
        <w:t>means either (i) a required recoupment of Incentive-Based Compensation in the event of a Restatement or (ii) a discretionary recoupment pursuant to Section IX of this Policy.</w:t>
      </w:r>
    </w:p>
    <w:p>
      <w:pPr>
        <w:pStyle w:val="TextBody"/>
        <w:bidi w:val="0"/>
        <w:spacing w:lineRule="auto" w:line="240" w:before="120" w:after="120"/>
        <w:ind w:left="0" w:right="0" w:hanging="360"/>
        <w:jc w:val="both"/>
        <w:rPr/>
      </w:pPr>
      <w:r>
        <w:rPr>
          <w:rFonts w:ascii="Calibri;sans-serif" w:hAnsi="Calibri;sans-serif"/>
          <w:b w:val="false"/>
          <w:color w:val="000000"/>
          <w:sz w:val="24"/>
        </w:rPr>
        <w:t>d.</w:t>
      </w:r>
      <w:r>
        <w:rPr>
          <w:color w:val="000000"/>
        </w:rPr>
        <w:t>“</w:t>
      </w:r>
      <w:r>
        <w:rPr>
          <w:rFonts w:ascii="Calibri;sans-serif" w:hAnsi="Calibri;sans-serif"/>
          <w:b/>
          <w:color w:val="000000"/>
          <w:sz w:val="24"/>
        </w:rPr>
        <w:t>Covered Persons</w:t>
      </w:r>
      <w:r>
        <w:rPr>
          <w:color w:val="000000"/>
        </w:rPr>
        <w:t xml:space="preserve">” </w:t>
      </w:r>
      <w:r>
        <w:rPr>
          <w:rFonts w:ascii="Calibri;sans-serif" w:hAnsi="Calibri;sans-serif"/>
          <w:b w:val="false"/>
          <w:color w:val="000000"/>
          <w:sz w:val="24"/>
        </w:rPr>
        <w:t>means each officer of the Company who is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r>
        <w:rPr>
          <w:color w:val="000000"/>
          <w:u w:val="single"/>
        </w:rPr>
        <w:t xml:space="preserve"> </w:t>
      </w:r>
    </w:p>
    <w:p>
      <w:pPr>
        <w:pStyle w:val="TextBody"/>
        <w:bidi w:val="0"/>
        <w:spacing w:lineRule="auto" w:line="348" w:before="0" w:after="0"/>
        <w:ind w:left="0" w:right="0" w:hanging="360"/>
        <w:jc w:val="both"/>
        <w:rPr/>
      </w:pPr>
      <w:r>
        <w:rPr>
          <w:rFonts w:ascii="Calibri;sans-serif" w:hAnsi="Calibri;sans-serif"/>
          <w:b w:val="false"/>
          <w:color w:val="000000"/>
          <w:sz w:val="24"/>
        </w:rPr>
        <w:t>e.</w:t>
      </w:r>
      <w:r>
        <w:rPr>
          <w:color w:val="000000"/>
        </w:rPr>
        <w:t>“</w:t>
      </w:r>
      <w:r>
        <w:rPr>
          <w:rFonts w:ascii="Calibri;sans-serif" w:hAnsi="Calibri;sans-serif"/>
          <w:b/>
          <w:color w:val="000000"/>
          <w:sz w:val="24"/>
        </w:rPr>
        <w:t>Exchange Act</w:t>
      </w:r>
      <w:r>
        <w:rPr>
          <w:color w:val="000000"/>
        </w:rPr>
        <w:t xml:space="preserve">” </w:t>
      </w:r>
      <w:r>
        <w:rPr>
          <w:rFonts w:ascii="Calibri;sans-serif" w:hAnsi="Calibri;sans-serif"/>
          <w:b w:val="false"/>
          <w:color w:val="000000"/>
          <w:sz w:val="24"/>
        </w:rPr>
        <w:t>means the Securities Exchange Act of 1934, as amended.</w:t>
      </w:r>
    </w:p>
    <w:p>
      <w:pPr>
        <w:pStyle w:val="TextBody"/>
        <w:bidi w:val="0"/>
        <w:spacing w:lineRule="auto" w:line="240" w:before="120" w:after="120"/>
        <w:ind w:left="0" w:right="0" w:hanging="360"/>
        <w:jc w:val="both"/>
        <w:rPr/>
      </w:pPr>
      <w:r>
        <w:rPr>
          <w:rFonts w:ascii="Calibri;sans-serif" w:hAnsi="Calibri;sans-serif"/>
          <w:b w:val="false"/>
          <w:color w:val="000000"/>
          <w:sz w:val="24"/>
        </w:rPr>
        <w:t>f.</w:t>
      </w:r>
      <w:r>
        <w:rPr>
          <w:color w:val="000000"/>
        </w:rPr>
        <w:t>“</w:t>
      </w:r>
      <w:r>
        <w:rPr>
          <w:rFonts w:ascii="Calibri;sans-serif" w:hAnsi="Calibri;sans-serif"/>
          <w:b/>
          <w:color w:val="000000"/>
          <w:sz w:val="24"/>
        </w:rPr>
        <w:t>Financial Reporting Measures</w:t>
      </w:r>
      <w:r>
        <w:rPr>
          <w:color w:val="000000"/>
        </w:rPr>
        <w:t xml:space="preserve">” </w:t>
      </w:r>
      <w:r>
        <w:rPr>
          <w:rFonts w:ascii="Calibri;sans-serif" w:hAnsi="Calibri;sans-serif"/>
          <w:b w:val="false"/>
          <w:color w:val="000000"/>
          <w:sz w:val="24"/>
        </w:rPr>
        <w:t>mean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p>
      <w:pPr>
        <w:pStyle w:val="TextBody"/>
        <w:bidi w:val="0"/>
        <w:jc w:val="both"/>
        <w:rPr/>
      </w:pPr>
      <w:r>
        <w:rPr/>
      </w:r>
    </w:p>
    <w:p>
      <w:pPr>
        <w:pStyle w:val="TextBody"/>
        <w:bidi w:val="0"/>
        <w:spacing w:lineRule="auto" w:line="240" w:before="120" w:after="120"/>
        <w:jc w:val="left"/>
        <w:rPr/>
      </w:pPr>
      <w:r>
        <w:rPr/>
        <w:drawing>
          <wp:inline distT="0" distB="0" distL="0" distR="0">
            <wp:extent cx="1828800" cy="733425"/>
            <wp:effectExtent l="0" t="0" r="0" b="0"/>
            <wp:docPr id="10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 descr=""/>
                    <pic:cNvPicPr>
                      <a:picLocks noChangeAspect="1" noChangeArrowheads="1"/>
                    </pic:cNvPicPr>
                  </pic:nvPicPr>
                  <pic:blipFill>
                    <a:blip r:embed="rId53"/>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0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 descr=""/>
                    <pic:cNvPicPr>
                      <a:picLocks noChangeAspect="1" noChangeArrowheads="1"/>
                    </pic:cNvPicPr>
                  </pic:nvPicPr>
                  <pic:blipFill>
                    <a:blip r:embed="rId54"/>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53365"/>
                <wp:effectExtent l="0" t="0" r="0" b="0"/>
                <wp:wrapNone/>
                <wp:docPr id="106" name="Frame100"/>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1</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1</w:t>
                      </w:r>
                      <w:r>
                        <w:rPr>
                          <w:color w:val="2F5496"/>
                        </w:rPr>
                        <w:t xml:space="preserve"> </w:t>
                      </w:r>
                      <w:r>
                        <w:rPr>
                          <w:rFonts w:ascii="Calibri;sans-serif" w:hAnsi="Calibri;sans-serif"/>
                          <w:b w:val="false"/>
                          <w:color w:val="2F5496"/>
                          <w:sz w:val="22"/>
                        </w:rPr>
                        <w:t>of 6</w:t>
                      </w:r>
                    </w:p>
                  </w:txbxContent>
                </v:textbox>
                <w10:wrap type="none"/>
              </v:rect>
            </w:pict>
          </mc:Fallback>
        </mc:AlternateContent>
      </w:r>
    </w:p>
    <w:p>
      <w:pPr>
        <w:pStyle w:val="TextBody"/>
        <w:bidi w:val="0"/>
        <w:spacing w:lineRule="auto" w:line="240" w:before="120" w:after="120"/>
        <w:ind w:left="0" w:right="0" w:hanging="360"/>
        <w:jc w:val="both"/>
        <w:rPr/>
      </w:pPr>
      <w:r>
        <w:rPr>
          <w:rFonts w:ascii="Calibri;sans-serif" w:hAnsi="Calibri;sans-serif"/>
          <w:b w:val="false"/>
          <w:color w:val="000000"/>
          <w:sz w:val="24"/>
        </w:rPr>
        <w:t>g.</w:t>
      </w:r>
      <w:r>
        <w:rPr>
          <w:color w:val="000000"/>
        </w:rPr>
        <w:t>“</w:t>
      </w:r>
      <w:r>
        <w:rPr>
          <w:rFonts w:ascii="Calibri;sans-serif" w:hAnsi="Calibri;sans-serif"/>
          <w:b/>
          <w:color w:val="000000"/>
          <w:sz w:val="24"/>
        </w:rPr>
        <w:t>Incentive-Based Compensation</w:t>
      </w:r>
      <w:r>
        <w:rPr>
          <w:color w:val="000000"/>
        </w:rPr>
        <w:t xml:space="preserve">” </w:t>
      </w:r>
      <w:r>
        <w:rPr>
          <w:rFonts w:ascii="Calibri;sans-serif" w:hAnsi="Calibri;sans-serif"/>
          <w:b w:val="false"/>
          <w:color w:val="000000"/>
          <w:sz w:val="24"/>
        </w:rPr>
        <w:t>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pStyle w:val="TextBody"/>
        <w:bidi w:val="0"/>
        <w:spacing w:lineRule="auto" w:line="240" w:before="120" w:after="120"/>
        <w:ind w:left="0" w:right="0" w:hanging="360"/>
        <w:jc w:val="both"/>
        <w:rPr/>
      </w:pPr>
      <w:r>
        <w:rPr>
          <w:rFonts w:ascii="Calibri;sans-serif" w:hAnsi="Calibri;sans-serif"/>
          <w:b w:val="false"/>
          <w:color w:val="000000"/>
          <w:sz w:val="24"/>
        </w:rPr>
        <w:t>h.</w:t>
      </w:r>
      <w:r>
        <w:rPr>
          <w:color w:val="000000"/>
        </w:rPr>
        <w:t>“</w:t>
      </w:r>
      <w:r>
        <w:rPr>
          <w:rFonts w:ascii="Calibri;sans-serif" w:hAnsi="Calibri;sans-serif"/>
          <w:b/>
          <w:color w:val="000000"/>
          <w:sz w:val="24"/>
        </w:rPr>
        <w:t>Received</w:t>
      </w:r>
      <w:r>
        <w:rPr>
          <w:color w:val="000000"/>
        </w:rPr>
        <w:t xml:space="preserve">” </w:t>
      </w:r>
      <w:r>
        <w:rPr>
          <w:rFonts w:ascii="Calibri;sans-serif" w:hAnsi="Calibri;sans-serif"/>
          <w:b w:val="false"/>
          <w:color w:val="000000"/>
          <w:sz w:val="24"/>
        </w:rPr>
        <w:t>means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p>
      <w:pPr>
        <w:pStyle w:val="TextBody"/>
        <w:bidi w:val="0"/>
        <w:spacing w:lineRule="auto" w:line="240" w:before="120" w:after="120"/>
        <w:ind w:left="0" w:right="0" w:hanging="360"/>
        <w:jc w:val="both"/>
        <w:rPr/>
      </w:pPr>
      <w:r>
        <w:rPr>
          <w:rFonts w:ascii="Calibri;sans-serif" w:hAnsi="Calibri;sans-serif"/>
          <w:b w:val="false"/>
          <w:color w:val="000000"/>
          <w:sz w:val="24"/>
        </w:rPr>
        <w:t>i.</w:t>
      </w:r>
      <w:r>
        <w:rPr>
          <w:color w:val="000000"/>
        </w:rPr>
        <w:t>“</w:t>
      </w:r>
      <w:r>
        <w:rPr>
          <w:rFonts w:ascii="Calibri;sans-serif" w:hAnsi="Calibri;sans-serif"/>
          <w:b/>
          <w:color w:val="000000"/>
          <w:sz w:val="24"/>
        </w:rPr>
        <w:t>Recovery Period</w:t>
      </w:r>
      <w:r>
        <w:rPr>
          <w:color w:val="000000"/>
        </w:rPr>
        <w:t xml:space="preserve">” </w:t>
      </w:r>
      <w:r>
        <w:rPr>
          <w:rFonts w:ascii="Calibri;sans-serif" w:hAnsi="Calibri;sans-serif"/>
          <w:b w:val="false"/>
          <w:color w:val="000000"/>
          <w:sz w:val="24"/>
        </w:rPr>
        <w:t>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pStyle w:val="TextBody"/>
        <w:bidi w:val="0"/>
        <w:spacing w:lineRule="auto" w:line="348" w:before="0" w:after="0"/>
        <w:ind w:left="0" w:right="0" w:hanging="360"/>
        <w:jc w:val="both"/>
        <w:rPr/>
      </w:pPr>
      <w:r>
        <w:rPr>
          <w:rFonts w:ascii="Calibri;sans-serif" w:hAnsi="Calibri;sans-serif"/>
          <w:b w:val="false"/>
          <w:color w:val="000000"/>
          <w:sz w:val="24"/>
        </w:rPr>
        <w:t>j.</w:t>
      </w:r>
      <w:r>
        <w:rPr>
          <w:color w:val="000000"/>
        </w:rPr>
        <w:t>“</w:t>
      </w:r>
      <w:r>
        <w:rPr>
          <w:rFonts w:ascii="Calibri;sans-serif" w:hAnsi="Calibri;sans-serif"/>
          <w:b/>
          <w:color w:val="000000"/>
          <w:sz w:val="24"/>
        </w:rPr>
        <w:t>Regulators</w:t>
      </w:r>
      <w:r>
        <w:rPr>
          <w:color w:val="000000"/>
        </w:rPr>
        <w:t xml:space="preserve">” </w:t>
      </w:r>
      <w:r>
        <w:rPr>
          <w:rFonts w:ascii="Calibri;sans-serif" w:hAnsi="Calibri;sans-serif"/>
          <w:b w:val="false"/>
          <w:color w:val="000000"/>
          <w:sz w:val="24"/>
        </w:rPr>
        <w:t>means, as applicable, the SEC and Nasdaq.</w:t>
      </w:r>
    </w:p>
    <w:p>
      <w:pPr>
        <w:pStyle w:val="TextBody"/>
        <w:bidi w:val="0"/>
        <w:spacing w:lineRule="auto" w:line="240" w:before="120" w:after="120"/>
        <w:ind w:left="0" w:right="0" w:hanging="360"/>
        <w:jc w:val="both"/>
        <w:rPr/>
      </w:pPr>
      <w:r>
        <w:rPr>
          <w:rFonts w:ascii="Calibri;sans-serif" w:hAnsi="Calibri;sans-serif"/>
          <w:b w:val="false"/>
          <w:color w:val="000000"/>
          <w:sz w:val="24"/>
        </w:rPr>
        <w:t>k.</w:t>
      </w:r>
      <w:r>
        <w:rPr>
          <w:color w:val="000000"/>
        </w:rPr>
        <w:t>“</w:t>
      </w:r>
      <w:r>
        <w:rPr>
          <w:rFonts w:ascii="Calibri;sans-serif" w:hAnsi="Calibri;sans-serif"/>
          <w:b/>
          <w:color w:val="000000"/>
          <w:sz w:val="24"/>
        </w:rPr>
        <w:t>Restatement</w:t>
      </w:r>
      <w:r>
        <w:rPr>
          <w:color w:val="000000"/>
        </w:rPr>
        <w:t xml:space="preserve">” </w:t>
      </w:r>
      <w:r>
        <w:rPr>
          <w:rFonts w:ascii="Calibri;sans-serif" w:hAnsi="Calibri;sans-serif"/>
          <w:b w:val="false"/>
          <w:color w:val="000000"/>
          <w:sz w:val="24"/>
        </w:rPr>
        <w:t>means that the Company is required to prepare an accounting restatement due to a material noncompliance of the Company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pStyle w:val="TextBody"/>
        <w:bidi w:val="0"/>
        <w:spacing w:lineRule="auto" w:line="348" w:before="0" w:after="0"/>
        <w:ind w:left="0" w:right="0" w:hanging="360"/>
        <w:jc w:val="both"/>
        <w:rPr/>
      </w:pPr>
      <w:r>
        <w:rPr>
          <w:rFonts w:ascii="Calibri;sans-serif" w:hAnsi="Calibri;sans-serif"/>
          <w:b w:val="false"/>
          <w:color w:val="000000"/>
          <w:sz w:val="24"/>
        </w:rPr>
        <w:t>l.</w:t>
      </w:r>
      <w:r>
        <w:rPr>
          <w:color w:val="000000"/>
        </w:rPr>
        <w:t>“</w:t>
      </w:r>
      <w:r>
        <w:rPr>
          <w:rFonts w:ascii="Calibri;sans-serif" w:hAnsi="Calibri;sans-serif"/>
          <w:b/>
          <w:color w:val="000000"/>
          <w:sz w:val="24"/>
        </w:rPr>
        <w:t>SEC</w:t>
      </w:r>
      <w:r>
        <w:rPr>
          <w:color w:val="000000"/>
        </w:rPr>
        <w:t xml:space="preserve">” </w:t>
      </w:r>
      <w:r>
        <w:rPr>
          <w:rFonts w:ascii="Calibri;sans-serif" w:hAnsi="Calibri;sans-serif"/>
          <w:b w:val="false"/>
          <w:color w:val="000000"/>
          <w:sz w:val="24"/>
        </w:rPr>
        <w:t>means the U.S. Securities and Exchange Commission.</w:t>
      </w:r>
    </w:p>
    <w:p>
      <w:pPr>
        <w:pStyle w:val="TextBody"/>
        <w:bidi w:val="0"/>
        <w:spacing w:lineRule="auto" w:line="240" w:before="0" w:after="0"/>
        <w:ind w:left="0" w:right="0" w:hanging="360"/>
        <w:jc w:val="both"/>
        <w:rPr/>
      </w:pPr>
      <w:r>
        <w:rPr>
          <w:rFonts w:ascii="Calibri;sans-serif" w:hAnsi="Calibri;sans-serif"/>
          <w:b/>
          <w:color w:val="000000"/>
          <w:sz w:val="24"/>
        </w:rPr>
        <w:t>IV.</w:t>
      </w:r>
      <w:r>
        <w:rPr>
          <w:rFonts w:ascii="Calibri;sans-serif" w:hAnsi="Calibri;sans-serif"/>
          <w:b/>
          <w:color w:val="000000"/>
          <w:sz w:val="24"/>
          <w:u w:val="single"/>
        </w:rPr>
        <w:t>Administration</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This Policy shall be administered by the Compensation Committee, which shall make all determinations with respect to this Policy in its sole discretion, provided that this Policy shall be interpreted in a manner consistent with the requirements of the Applicable Rules, except that Section IX of this Policy shall be interpreted in the Compensation Committee’s sole discretion, which may or may not conform with the Applicable Rules. Notwithstanding the foregoing, the Board shall assume any and all powers and authority of the Compensation Committee with respect to administration of Section IX of this Policy, in which case references to the Compensation Committee shall be deemed to include the Board, as applicable.</w:t>
      </w:r>
    </w:p>
    <w:p>
      <w:pPr>
        <w:pStyle w:val="TextBody"/>
        <w:bidi w:val="0"/>
        <w:spacing w:lineRule="auto" w:line="240" w:before="120" w:after="120"/>
        <w:ind w:left="0" w:right="0" w:hanging="360"/>
        <w:jc w:val="both"/>
        <w:rPr/>
      </w:pPr>
      <w:r>
        <w:rPr>
          <w:rFonts w:ascii="Calibri;sans-serif" w:hAnsi="Calibri;sans-serif"/>
          <w:b/>
          <w:color w:val="000000"/>
          <w:sz w:val="24"/>
        </w:rPr>
        <w:t>V.</w:t>
      </w:r>
      <w:r>
        <w:rPr>
          <w:rFonts w:ascii="Calibri;sans-serif" w:hAnsi="Calibri;sans-serif"/>
          <w:b/>
          <w:color w:val="000000"/>
          <w:sz w:val="24"/>
          <w:u w:val="single"/>
        </w:rPr>
        <w:t>Coverage and Application</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This Policy covers all persons who are Covered Persons at any time during the Recovery Period for which Incentive-Based Compensation is Received. Incentive-Based Compensation shall not be recovered under this Policy to the extent Received by any person before the date the person served as a Covered Person. Subsequent changes in a Covered Person’s employment status, including retirement or termination of employment, do not affect the Company’s right to recover Incentive-Based Compensation pursuant to this Policy.</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This Policy shall apply to Incentive-Based Compensation that is Received by any Covered Person on or after October 2, 2023 that results from attainment of a Financial Reporting Measure based on or derived from financial information for any fiscal period ending on or after October 2, 2023.</w:t>
      </w:r>
    </w:p>
    <w:p>
      <w:pPr>
        <w:pStyle w:val="TextBody"/>
        <w:bidi w:val="0"/>
        <w:spacing w:lineRule="auto" w:line="240" w:before="0" w:after="0"/>
        <w:ind w:left="0" w:right="0" w:hanging="360"/>
        <w:jc w:val="both"/>
        <w:rPr/>
      </w:pPr>
      <w:r>
        <w:rPr>
          <w:rFonts w:ascii="Calibri;sans-serif" w:hAnsi="Calibri;sans-serif"/>
          <w:b/>
          <w:color w:val="000000"/>
          <w:sz w:val="24"/>
        </w:rPr>
        <w:t>VI.</w:t>
      </w:r>
      <w:r>
        <w:rPr>
          <w:rFonts w:ascii="Calibri;sans-serif" w:hAnsi="Calibri;sans-serif"/>
          <w:b/>
          <w:color w:val="000000"/>
          <w:sz w:val="24"/>
          <w:u w:val="single"/>
        </w:rPr>
        <w:t>Recovery on a Restatement</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 xml:space="preserve">In the event that the Company is required to prepare a Restatement, the Company shall reasonably promptly recover from a Covered Person the amount of any erroneously awarded Incentive-Based Compensation that is Received by such Covered Person during the Recovery Period. The amount of </w:t>
      </w:r>
    </w:p>
    <w:p>
      <w:pPr>
        <w:pStyle w:val="TextBody"/>
        <w:bidi w:val="0"/>
        <w:spacing w:lineRule="auto" w:line="240" w:before="120" w:after="120"/>
        <w:jc w:val="left"/>
        <w:rPr/>
      </w:pPr>
      <w:r>
        <w:rPr/>
        <w:drawing>
          <wp:inline distT="0" distB="0" distL="0" distR="0">
            <wp:extent cx="1828800" cy="733425"/>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55"/>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56"/>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53365"/>
                <wp:effectExtent l="0" t="0" r="0" b="0"/>
                <wp:wrapNone/>
                <wp:docPr id="109" name="Frame101"/>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2</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2</w:t>
                      </w:r>
                      <w:r>
                        <w:rPr>
                          <w:color w:val="2F5496"/>
                        </w:rPr>
                        <w:t xml:space="preserve"> </w:t>
                      </w:r>
                      <w:r>
                        <w:rPr>
                          <w:rFonts w:ascii="Calibri;sans-serif" w:hAnsi="Calibri;sans-serif"/>
                          <w:b w:val="false"/>
                          <w:color w:val="2F5496"/>
                          <w:sz w:val="22"/>
                        </w:rPr>
                        <w:t>of 6</w:t>
                      </w:r>
                    </w:p>
                  </w:txbxContent>
                </v:textbox>
                <w10:wrap type="none"/>
              </v:rect>
            </w:pict>
          </mc:Fallback>
        </mc:AlternateConten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erroneously Received Incentive-Based Compensation will be the excess of the Incentive-Based Compensation Received by the Covered Person (whether in cash or shares) based on the erroneous data in the original financial statements over the Incentive-Based Compensation (whether in cash or in shares) that would have been Received by the Covered Person had such Incentive-Based Compensation been based on the restated results, without respect to any tax liabilities incurred or paid by the Covered Person. Without limiting the foregoing, for Incentive-Based Compensation based on the Company’s stock price or total shareholder return, where the amount of erroneously awarded compensation is not subject to mathematical recalculation directly from the information in the Restatement, (i) the amount shall be based on the Company’s reasonable estimate of the effect of the Restatement on the stock price or total shareholder return upon which the Incentive-Based Compensation was Received and (ii) the Company shall maintain documentation of the determination of that reasonable estimate and provide such estimate to Nasdaq.</w:t>
      </w:r>
    </w:p>
    <w:p>
      <w:pPr>
        <w:pStyle w:val="TextBody"/>
        <w:bidi w:val="0"/>
        <w:spacing w:lineRule="auto" w:line="240" w:before="0" w:after="0"/>
        <w:ind w:left="0" w:right="0" w:hanging="360"/>
        <w:jc w:val="both"/>
        <w:rPr/>
      </w:pPr>
      <w:r>
        <w:rPr>
          <w:rFonts w:ascii="Calibri;sans-serif" w:hAnsi="Calibri;sans-serif"/>
          <w:b/>
          <w:color w:val="000000"/>
          <w:sz w:val="24"/>
        </w:rPr>
        <w:t>VII.</w:t>
      </w:r>
      <w:r>
        <w:rPr>
          <w:rFonts w:ascii="Calibri;sans-serif" w:hAnsi="Calibri;sans-serif"/>
          <w:b/>
          <w:color w:val="000000"/>
          <w:sz w:val="24"/>
          <w:u w:val="single"/>
        </w:rPr>
        <w:t>Exceptions to this Policy</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No recovery of Incentive-Based Compensation shall be required if any of the following conditions are met and the Compensation Committee determines that, on such basis, recovery would be impracticable:</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a.the direct expense paid to a third party to assist in enforcing this Policy would exceed the amount to be recovered; provided that prior to making a determination that it would be impracticable to recover any Incentive-Based Compensation based on the expense of enforcement, the Company shall (i) have made a reasonable attempt to recover the Incentive-Based Compensation, (ii) have documented such reasonable attempts to recover, and (iii) provide the documentation to Nasdaq;</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b.recovery would violate home country law where that law was adopted prior to November 28, 2022; or</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c.recovery would likely cause an otherwise tax-qualified retirement plan, under which benefits are broadly available to employees, to fail to meet the requirements of Section 401(a)(13) or Section 411(a) of the Internal Revenue Code of 1986, as amended (the “Code”), and U.S. Treasury regulations promulgated thereunder.</w:t>
      </w:r>
    </w:p>
    <w:p>
      <w:pPr>
        <w:pStyle w:val="TextBody"/>
        <w:bidi w:val="0"/>
        <w:spacing w:lineRule="auto" w:line="240" w:before="0" w:after="0"/>
        <w:ind w:left="0" w:right="0" w:hanging="540"/>
        <w:jc w:val="both"/>
        <w:rPr/>
      </w:pPr>
      <w:r>
        <w:rPr>
          <w:rFonts w:ascii="Calibri;sans-serif" w:hAnsi="Calibri;sans-serif"/>
          <w:b/>
          <w:color w:val="000000"/>
          <w:sz w:val="24"/>
        </w:rPr>
        <w:t>VIII.</w:t>
      </w:r>
      <w:r>
        <w:rPr>
          <w:rFonts w:ascii="Calibri;sans-serif" w:hAnsi="Calibri;sans-serif"/>
          <w:b/>
          <w:color w:val="000000"/>
          <w:sz w:val="24"/>
          <w:u w:val="single"/>
        </w:rPr>
        <w:t>Public Disclosure</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The Company shall make all required disclosures and filings with the Regulators with respect to this Policy in accordance with the requirements of the Applicable Rules, and any other requirements applicable to the Company, including any disclosures required in connection with SEC filings.</w:t>
      </w:r>
    </w:p>
    <w:p>
      <w:pPr>
        <w:pStyle w:val="TextBody"/>
        <w:bidi w:val="0"/>
        <w:spacing w:lineRule="auto" w:line="240" w:before="0" w:after="0"/>
        <w:ind w:left="0" w:right="0" w:hanging="360"/>
        <w:jc w:val="both"/>
        <w:rPr/>
      </w:pPr>
      <w:r>
        <w:rPr>
          <w:rFonts w:ascii="Calibri;sans-serif" w:hAnsi="Calibri;sans-serif"/>
          <w:b/>
          <w:color w:val="000000"/>
          <w:sz w:val="24"/>
        </w:rPr>
        <w:t>IX.</w:t>
      </w:r>
      <w:r>
        <w:rPr>
          <w:rFonts w:ascii="Calibri;sans-serif" w:hAnsi="Calibri;sans-serif"/>
          <w:b/>
          <w:color w:val="000000"/>
          <w:sz w:val="24"/>
          <w:u w:val="single"/>
        </w:rPr>
        <w:t>Discretionary Recovery</w:t>
      </w:r>
    </w:p>
    <w:p>
      <w:pPr>
        <w:pStyle w:val="TextBody"/>
        <w:bidi w:val="0"/>
        <w:spacing w:lineRule="auto" w:line="240" w:before="120" w:after="120"/>
        <w:jc w:val="left"/>
        <w:rPr>
          <w:rFonts w:ascii="Calibri;sans-serif" w:hAnsi="Calibri;sans-serif"/>
          <w:b w:val="false"/>
          <w:color w:val="000000"/>
          <w:sz w:val="24"/>
        </w:rPr>
      </w:pPr>
      <w:r>
        <w:rPr>
          <w:rFonts w:ascii="Calibri;sans-serif" w:hAnsi="Calibri;sans-serif"/>
          <w:b w:val="false"/>
          <w:color w:val="000000"/>
          <w:sz w:val="24"/>
        </w:rPr>
        <w:t xml:space="preserve">The Compensation Committee may, in its discretion, require the return, repayment, or forfeiture of any cash or equity-based incentive compensation payment or award made or granted to any current or former Covered Person, if the Compensation Committee determines that a Covered Person has engaged in [fraud or misconduct], or in the event of a Restatement (to the extent such return, repayment, or forfeiture is not already covered by this Policy). </w:t>
      </w:r>
    </w:p>
    <w:p>
      <w:pPr>
        <w:pStyle w:val="TextBody"/>
        <w:bidi w:val="0"/>
        <w:spacing w:lineRule="auto" w:line="240" w:before="0" w:after="0"/>
        <w:ind w:left="0" w:right="0" w:hanging="360"/>
        <w:jc w:val="both"/>
        <w:rPr/>
      </w:pPr>
      <w:r>
        <w:rPr>
          <w:rFonts w:ascii="Calibri;sans-serif" w:hAnsi="Calibri;sans-serif"/>
          <w:b/>
          <w:color w:val="000000"/>
          <w:sz w:val="24"/>
        </w:rPr>
        <w:t>X.</w:t>
      </w:r>
      <w:r>
        <w:rPr>
          <w:rFonts w:ascii="Calibri;sans-serif" w:hAnsi="Calibri;sans-serif"/>
          <w:b/>
          <w:color w:val="000000"/>
          <w:sz w:val="24"/>
          <w:u w:val="single"/>
        </w:rPr>
        <w:t>Methods of Recovery</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In the event of a Clawback Event, subject to applicable law, the Compensation Committee may take any such actions as it deems necessary or appropriate, including, without limitation:</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a.The cancellation of any Clawback Compensation in the form of vested or unvested equity or equity-based awards that have not been distributed or otherwise settled prior to the date of determination;</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b.The recovery of any Clawback Compensation that was previously paid to the Covered Person;</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c.The recovery of any gain realized on the vesting, exercise, settlement, sale, transfer, or other disposition of any Clawback Compensation in the form of equity or equity-based awards;</w:t>
      </w:r>
    </w:p>
    <w:p>
      <w:pPr>
        <w:pStyle w:val="TextBody"/>
        <w:bidi w:val="0"/>
        <w:spacing w:lineRule="auto" w:line="240" w:before="120" w:after="120"/>
        <w:jc w:val="left"/>
        <w:rPr/>
      </w:pPr>
      <w:r>
        <w:rPr/>
        <w:drawing>
          <wp:inline distT="0" distB="0" distL="0" distR="0">
            <wp:extent cx="1828800" cy="733425"/>
            <wp:effectExtent l="0" t="0" r="0" b="0"/>
            <wp:docPr id="1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 descr=""/>
                    <pic:cNvPicPr>
                      <a:picLocks noChangeAspect="1" noChangeArrowheads="1"/>
                    </pic:cNvPicPr>
                  </pic:nvPicPr>
                  <pic:blipFill>
                    <a:blip r:embed="rId57"/>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 descr=""/>
                    <pic:cNvPicPr>
                      <a:picLocks noChangeAspect="1" noChangeArrowheads="1"/>
                    </pic:cNvPicPr>
                  </pic:nvPicPr>
                  <pic:blipFill>
                    <a:blip r:embed="rId58"/>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53365"/>
                <wp:effectExtent l="0" t="0" r="0" b="0"/>
                <wp:wrapNone/>
                <wp:docPr id="112" name="Frame102"/>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3</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3</w:t>
                      </w:r>
                      <w:r>
                        <w:rPr>
                          <w:color w:val="2F5496"/>
                        </w:rPr>
                        <w:t xml:space="preserve"> </w:t>
                      </w:r>
                      <w:r>
                        <w:rPr>
                          <w:rFonts w:ascii="Calibri;sans-serif" w:hAnsi="Calibri;sans-serif"/>
                          <w:b w:val="false"/>
                          <w:color w:val="2F5496"/>
                          <w:sz w:val="22"/>
                        </w:rPr>
                        <w:t>of 6</w:t>
                      </w:r>
                    </w:p>
                  </w:txbxContent>
                </v:textbox>
                <w10:wrap type="none"/>
              </v:rect>
            </w:pict>
          </mc:Fallback>
        </mc:AlternateConten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d.The offset, withholding, or elimination of any amount that could be paid or awarded to the Covered Person after the date of determination;</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e.The recoupment of any amount in respect of Clawback Compensation contributed to a plan that takes into account Clawback Compensation (excluding certain tax-qualified plans, but including long-term disability, life insurance, supplemental executive retirement plans and deferred compensation plans, in each case to the extent permitted by applicable law, including Section 409A of the Code) and any earnings accrued to date on any such amount; and</w:t>
      </w:r>
    </w:p>
    <w:p>
      <w:pPr>
        <w:pStyle w:val="TextBody"/>
        <w:bidi w:val="0"/>
        <w:spacing w:lineRule="auto" w:line="240" w:before="120" w:after="120"/>
        <w:ind w:left="0" w:right="0" w:hanging="360"/>
        <w:jc w:val="both"/>
        <w:rPr>
          <w:rFonts w:ascii="Calibri;sans-serif" w:hAnsi="Calibri;sans-serif"/>
          <w:b w:val="false"/>
          <w:color w:val="000000"/>
          <w:sz w:val="24"/>
        </w:rPr>
      </w:pPr>
      <w:r>
        <w:rPr>
          <w:rFonts w:ascii="Calibri;sans-serif" w:hAnsi="Calibri;sans-serif"/>
          <w:b w:val="false"/>
          <w:color w:val="000000"/>
          <w:sz w:val="24"/>
        </w:rPr>
        <w:t>f.The taking of any other remedial and recovery action permitted by law, as determined by the Compensation Committee.</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In addition, the Compensation Committee may authorize legal action for breach of fiduciary duty or other violation of law and take such other actions to enforce the Covered Person’s obligations to the Company as the Compensation Committee deems appropriate.</w:t>
      </w:r>
    </w:p>
    <w:p>
      <w:pPr>
        <w:pStyle w:val="TextBody"/>
        <w:bidi w:val="0"/>
        <w:spacing w:lineRule="auto" w:line="240" w:before="0" w:after="0"/>
        <w:ind w:left="0" w:right="0" w:hanging="360"/>
        <w:jc w:val="both"/>
        <w:rPr/>
      </w:pPr>
      <w:r>
        <w:rPr>
          <w:rFonts w:ascii="Calibri;sans-serif" w:hAnsi="Calibri;sans-serif"/>
          <w:b/>
          <w:color w:val="000000"/>
          <w:sz w:val="24"/>
        </w:rPr>
        <w:t>XI.</w:t>
      </w:r>
      <w:r>
        <w:rPr>
          <w:rFonts w:ascii="Calibri;sans-serif" w:hAnsi="Calibri;sans-serif"/>
          <w:b/>
          <w:color w:val="000000"/>
          <w:sz w:val="24"/>
          <w:u w:val="single"/>
        </w:rPr>
        <w:t>No Indemnification</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The Company shall not indemnify any Covered Person against the loss of erroneously awarded compensation and shall not pay or reimburse any Covered Person for premiums incurred or paid for any insurance policy to fund such Covered Person’s potential recovery obligations.</w:t>
      </w:r>
    </w:p>
    <w:p>
      <w:pPr>
        <w:pStyle w:val="TextBody"/>
        <w:bidi w:val="0"/>
        <w:spacing w:lineRule="auto" w:line="240" w:before="0" w:after="0"/>
        <w:ind w:left="0" w:right="0" w:hanging="360"/>
        <w:jc w:val="both"/>
        <w:rPr/>
      </w:pPr>
      <w:r>
        <w:rPr>
          <w:rFonts w:ascii="Calibri;sans-serif" w:hAnsi="Calibri;sans-serif"/>
          <w:b/>
          <w:color w:val="000000"/>
          <w:sz w:val="24"/>
        </w:rPr>
        <w:t>XII.</w:t>
      </w:r>
      <w:r>
        <w:rPr>
          <w:rFonts w:ascii="Calibri;sans-serif" w:hAnsi="Calibri;sans-serif"/>
          <w:b/>
          <w:color w:val="000000"/>
          <w:sz w:val="24"/>
          <w:u w:val="single"/>
        </w:rPr>
        <w:t>No Substitution of Rights; Non-Exhaustive Rights</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Any right of recoupment under this Policy is in addition to, and not in lieu of, any other remedies or rights of recoupment that may be available to Company pursuant to (a) the Cross Country Healthcare, Inc. 2020 Omnibus Incentive Plan or any successor plan thereto, or any other incentive plan of the Company or any of its subsidiaries or affiliates or (b) the terms of any similar policy or provision in any employment agreement, compensation agreement or arrangement, or similar agreement and any other legal remedies available to the Company.</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In addition to recovery of compensation as provided for in this Policy, the Company may take any and all other actions as it deems necessary, appropriate and in the Company’s best interest in connection with a Clawback Event, including termination of a Covered Person’s employment and initiating legal action against a Covered Person’s, and nothing in this Policy limits the Company’s rights to take any such or other appropriate actions.</w:t>
      </w:r>
    </w:p>
    <w:p>
      <w:pPr>
        <w:pStyle w:val="TextBody"/>
        <w:bidi w:val="0"/>
        <w:spacing w:lineRule="auto" w:line="240" w:before="0" w:after="0"/>
        <w:ind w:left="0" w:right="0" w:hanging="540"/>
        <w:jc w:val="both"/>
        <w:rPr/>
      </w:pPr>
      <w:r>
        <w:rPr>
          <w:rFonts w:ascii="Calibri;sans-serif" w:hAnsi="Calibri;sans-serif"/>
          <w:b/>
          <w:color w:val="000000"/>
          <w:sz w:val="24"/>
        </w:rPr>
        <w:t>XIII.</w:t>
      </w:r>
      <w:r>
        <w:rPr>
          <w:rFonts w:ascii="Calibri;sans-serif" w:hAnsi="Calibri;sans-serif"/>
          <w:b/>
          <w:color w:val="000000"/>
          <w:sz w:val="24"/>
          <w:u w:val="single"/>
        </w:rPr>
        <w:t>Amendment; Termination</w:t>
      </w:r>
    </w:p>
    <w:p>
      <w:pPr>
        <w:pStyle w:val="TextBody"/>
        <w:bidi w:val="0"/>
        <w:spacing w:lineRule="auto" w:line="240" w:before="120" w:after="120"/>
        <w:jc w:val="both"/>
        <w:rPr>
          <w:rFonts w:ascii="Calibri;sans-serif" w:hAnsi="Calibri;sans-serif"/>
          <w:b w:val="false"/>
          <w:color w:val="000000"/>
          <w:sz w:val="24"/>
        </w:rPr>
      </w:pPr>
      <w:r>
        <w:rPr>
          <w:rFonts w:ascii="Calibri;sans-serif" w:hAnsi="Calibri;sans-serif"/>
          <w:b w:val="false"/>
          <w:color w:val="000000"/>
          <w:sz w:val="24"/>
        </w:rPr>
        <w:t xml:space="preserve">The Board may amend this Policy from time to time in its discretion, subject to any limitations under the Applicable Rules. Unless otherwise required by applicable law, this Policy shall no longer be effective from and after the date that the Company no longer has a class of securities publicly listed on a U.S. national securities exchange or is otherwise not subject to the Applicable Rules. </w:t>
      </w:r>
    </w:p>
    <w:p>
      <w:pPr>
        <w:pStyle w:val="TextBody"/>
        <w:bidi w:val="0"/>
        <w:spacing w:before="48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lineRule="auto" w:line="240" w:before="120" w:after="120"/>
        <w:jc w:val="left"/>
        <w:rPr/>
      </w:pPr>
      <w:r>
        <w:rPr/>
        <w:drawing>
          <wp:inline distT="0" distB="0" distL="0" distR="0">
            <wp:extent cx="1828800" cy="733425"/>
            <wp:effectExtent l="0" t="0" r="0" b="0"/>
            <wp:docPr id="1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 descr=""/>
                    <pic:cNvPicPr>
                      <a:picLocks noChangeAspect="1" noChangeArrowheads="1"/>
                    </pic:cNvPicPr>
                  </pic:nvPicPr>
                  <pic:blipFill>
                    <a:blip r:embed="rId59"/>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2" descr=""/>
                    <pic:cNvPicPr>
                      <a:picLocks noChangeAspect="1" noChangeArrowheads="1"/>
                    </pic:cNvPicPr>
                  </pic:nvPicPr>
                  <pic:blipFill>
                    <a:blip r:embed="rId60"/>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53365"/>
                <wp:effectExtent l="0" t="0" r="0" b="0"/>
                <wp:wrapNone/>
                <wp:docPr id="115" name="Frame103"/>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4</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4</w:t>
                      </w:r>
                      <w:r>
                        <w:rPr>
                          <w:color w:val="2F5496"/>
                        </w:rPr>
                        <w:t xml:space="preserve"> </w:t>
                      </w:r>
                      <w:r>
                        <w:rPr>
                          <w:rFonts w:ascii="Calibri;sans-serif" w:hAnsi="Calibri;sans-serif"/>
                          <w:b w:val="false"/>
                          <w:color w:val="2F5496"/>
                          <w:sz w:val="22"/>
                        </w:rPr>
                        <w:t>of 6</w:t>
                      </w:r>
                    </w:p>
                  </w:txbxContent>
                </v:textbox>
                <w10:wrap type="none"/>
              </v:rect>
            </w:pict>
          </mc:Fallback>
        </mc:AlternateContent>
      </w:r>
    </w:p>
    <w:p>
      <w:pPr>
        <w:pStyle w:val="TextBody"/>
        <w:bidi w:val="0"/>
        <w:spacing w:before="1" w:after="1"/>
        <w:jc w:val="left"/>
        <w:rPr/>
      </w:pPr>
      <w:r>
        <w:rPr/>
      </w:r>
    </w:p>
    <w:p>
      <w:pPr>
        <w:pStyle w:val="TextBody"/>
        <w:bidi w:val="0"/>
        <w:spacing w:lineRule="auto" w:line="240" w:before="1" w:after="1"/>
        <w:jc w:val="left"/>
        <w:rPr>
          <w:rFonts w:ascii="Times New Roman;sans-serif" w:hAnsi="Times New Roman;sans-serif"/>
          <w:b w:val="false"/>
          <w:color w:val="000000"/>
          <w:sz w:val="24"/>
        </w:rPr>
      </w:pPr>
      <w:r>
        <w:rPr>
          <w:rFonts w:ascii="Times New Roman;sans-serif" w:hAnsi="Times New Roman;sans-serif"/>
          <w:b w:val="false"/>
          <w:color w:val="000000"/>
          <w:sz w:val="24"/>
        </w:rPr>
        <w:t>Adopted by the Compensation Committee on August 14, 2023 and further ratified by the Board of Directors on August 15, 2023.</w:t>
      </w:r>
    </w:p>
    <w:p>
      <w:pPr>
        <w:pStyle w:val="TextBody"/>
        <w:bidi w:val="0"/>
        <w:spacing w:lineRule="auto" w:line="240" w:before="120" w:after="120"/>
        <w:jc w:val="left"/>
        <w:rPr/>
      </w:pPr>
      <w:r>
        <w:rPr/>
        <w:drawing>
          <wp:inline distT="0" distB="0" distL="0" distR="0">
            <wp:extent cx="1828800" cy="733425"/>
            <wp:effectExtent l="0" t="0" r="0" b="0"/>
            <wp:docPr id="1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3" descr=""/>
                    <pic:cNvPicPr>
                      <a:picLocks noChangeAspect="1" noChangeArrowheads="1"/>
                    </pic:cNvPicPr>
                  </pic:nvPicPr>
                  <pic:blipFill>
                    <a:blip r:embed="rId61"/>
                    <a:stretch>
                      <a:fillRect/>
                    </a:stretch>
                  </pic:blipFill>
                  <pic:spPr bwMode="auto">
                    <a:xfrm>
                      <a:off x="0" y="0"/>
                      <a:ext cx="1828800" cy="733425"/>
                    </a:xfrm>
                    <a:prstGeom prst="rect">
                      <a:avLst/>
                    </a:prstGeom>
                  </pic:spPr>
                </pic:pic>
              </a:graphicData>
            </a:graphic>
          </wp:inline>
        </w:drawing>
      </w:r>
      <w:r>
        <w:rPr/>
        <w:drawing>
          <wp:inline distT="0" distB="0" distL="0" distR="0">
            <wp:extent cx="4829175" cy="304800"/>
            <wp:effectExtent l="0" t="0" r="0" b="0"/>
            <wp:docPr id="1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4" descr=""/>
                    <pic:cNvPicPr>
                      <a:picLocks noChangeAspect="1" noChangeArrowheads="1"/>
                    </pic:cNvPicPr>
                  </pic:nvPicPr>
                  <pic:blipFill>
                    <a:blip r:embed="rId62"/>
                    <a:stretch>
                      <a:fillRect/>
                    </a:stretch>
                  </pic:blipFill>
                  <pic:spPr bwMode="auto">
                    <a:xfrm>
                      <a:off x="0" y="0"/>
                      <a:ext cx="4829175" cy="30480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53365"/>
                <wp:effectExtent l="0" t="0" r="0" b="0"/>
                <wp:wrapNone/>
                <wp:docPr id="118" name="Frame104"/>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5</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5</w:t>
                      </w:r>
                      <w:r>
                        <w:rPr>
                          <w:color w:val="2F5496"/>
                        </w:rPr>
                        <w:t xml:space="preserve"> </w:t>
                      </w:r>
                      <w:r>
                        <w:rPr>
                          <w:rFonts w:ascii="Calibri;sans-serif" w:hAnsi="Calibri;sans-serif"/>
                          <w:b w:val="false"/>
                          <w:color w:val="2F5496"/>
                          <w:sz w:val="22"/>
                        </w:rPr>
                        <w:t>of 6</w:t>
                      </w:r>
                    </w:p>
                  </w:txbxContent>
                </v:textbox>
                <w10:wrap type="none"/>
              </v:rect>
            </w:pict>
          </mc:Fallback>
        </mc:AlternateContent>
      </w:r>
    </w:p>
    <w:p>
      <w:pPr>
        <w:pStyle w:val="TextBody"/>
        <w:bidi w:val="0"/>
        <w:spacing w:lineRule="auto" w:line="240" w:before="0" w:after="120"/>
        <w:jc w:val="left"/>
        <w:rPr>
          <w:rFonts w:ascii="Calibri;sans-serif" w:hAnsi="Calibri;sans-serif"/>
          <w:b/>
          <w:color w:val="000000"/>
          <w:sz w:val="22"/>
        </w:rPr>
      </w:pPr>
      <w:r>
        <w:rPr>
          <w:rFonts w:ascii="Calibri;sans-serif" w:hAnsi="Calibri;sans-serif"/>
          <w:b/>
          <w:color w:val="000000"/>
          <w:sz w:val="22"/>
        </w:rPr>
        <w:t>Cross Country Healthcare, Inc.</w:t>
      </w:r>
    </w:p>
    <w:p>
      <w:pPr>
        <w:pStyle w:val="TextBody"/>
        <w:bidi w:val="0"/>
        <w:spacing w:before="120" w:after="120"/>
        <w:jc w:val="left"/>
        <w:rPr/>
      </w:pPr>
      <w:r>
        <w:rPr/>
      </w:r>
    </w:p>
    <w:p>
      <w:pPr>
        <w:pStyle w:val="TextBody"/>
        <w:bidi w:val="0"/>
        <w:spacing w:lineRule="auto" w:line="240" w:before="120" w:after="120"/>
        <w:jc w:val="left"/>
        <w:rPr>
          <w:rFonts w:ascii="Calibri;sans-serif" w:hAnsi="Calibri;sans-serif"/>
          <w:b/>
          <w:color w:val="000000"/>
          <w:sz w:val="22"/>
        </w:rPr>
      </w:pPr>
      <w:r>
        <w:rPr>
          <w:rFonts w:ascii="Calibri;sans-serif" w:hAnsi="Calibri;sans-serif"/>
          <w:b/>
          <w:color w:val="000000"/>
          <w:sz w:val="22"/>
        </w:rPr>
        <w:t>INCENTIVE COMPENSATION RECOUPMENT POLICY</w:t>
      </w:r>
    </w:p>
    <w:p>
      <w:pPr>
        <w:pStyle w:val="TextBody"/>
        <w:bidi w:val="0"/>
        <w:spacing w:lineRule="auto" w:line="240" w:before="120" w:after="120"/>
        <w:jc w:val="both"/>
        <w:rPr>
          <w:rFonts w:ascii="Calibri;sans-serif" w:hAnsi="Calibri;sans-serif"/>
          <w:b/>
          <w:color w:val="000000"/>
          <w:sz w:val="22"/>
        </w:rPr>
      </w:pPr>
      <w:r>
        <w:rPr>
          <w:rFonts w:ascii="Calibri;sans-serif" w:hAnsi="Calibri;sans-serif"/>
          <w:b/>
          <w:color w:val="000000"/>
          <w:sz w:val="22"/>
        </w:rPr>
        <w:t>It is the policy of Cross Country Healthcare, Inc. (the “Company”) that as a Covered Person to whom the Company’s Incentive Compensation Recoupment Policy (the “Policy”) applies, you acknowledge your receipt of, and agree to be subject to the terms and conditions of the Policy. A copy of the Policy is enclosed for your records. You should thoroughly review the Policy, then complete and sign the acknowledgement below and return it to [TITLE]. Please return the acknowledgement by ______________. Any questions regarding the Policy should be directed to [TITLE].</w:t>
      </w:r>
    </w:p>
    <w:p>
      <w:pPr>
        <w:pStyle w:val="TextBody"/>
        <w:bidi w:val="0"/>
        <w:spacing w:before="120" w:after="120"/>
        <w:jc w:val="both"/>
        <w:rPr/>
      </w:pPr>
      <w:r>
        <w:rPr/>
      </w:r>
    </w:p>
    <w:p>
      <w:pPr>
        <w:pStyle w:val="TextBody"/>
        <w:bidi w:val="0"/>
        <w:spacing w:lineRule="auto" w:line="240" w:before="120" w:after="120"/>
        <w:jc w:val="both"/>
        <w:rPr>
          <w:rFonts w:ascii="Calibri;sans-serif" w:hAnsi="Calibri;sans-serif"/>
          <w:b/>
          <w:color w:val="000000"/>
          <w:sz w:val="22"/>
          <w:u w:val="single"/>
        </w:rPr>
      </w:pPr>
      <w:r>
        <w:rPr>
          <w:rFonts w:ascii="Calibri;sans-serif" w:hAnsi="Calibri;sans-serif"/>
          <w:b/>
          <w:color w:val="000000"/>
          <w:sz w:val="22"/>
          <w:u w:val="single"/>
        </w:rPr>
        <w:t>Acknowledgement</w:t>
      </w:r>
    </w:p>
    <w:p>
      <w:pPr>
        <w:pStyle w:val="TextBody"/>
        <w:bidi w:val="0"/>
        <w:spacing w:before="120" w:after="120"/>
        <w:jc w:val="both"/>
        <w:rPr/>
      </w:pPr>
      <w:r>
        <w:rPr/>
      </w:r>
    </w:p>
    <w:p>
      <w:pPr>
        <w:pStyle w:val="TextBody"/>
        <w:bidi w:val="0"/>
        <w:spacing w:lineRule="auto" w:line="240" w:before="120" w:after="120"/>
        <w:jc w:val="both"/>
        <w:rPr>
          <w:rFonts w:ascii="Calibri;sans-serif" w:hAnsi="Calibri;sans-serif"/>
          <w:b w:val="false"/>
          <w:color w:val="000000"/>
          <w:sz w:val="22"/>
        </w:rPr>
      </w:pPr>
      <w:r>
        <w:rPr>
          <w:rFonts w:ascii="Calibri;sans-serif" w:hAnsi="Calibri;sans-serif"/>
          <w:b w:val="false"/>
          <w:color w:val="000000"/>
          <w:sz w:val="22"/>
        </w:rPr>
        <w:t>I, ____________________, have received a copy of the Cross Country Healthcare, Inc. Incentive Compensation Recoupment Policy (the “Policy”) which outlines the terms and conditions of the Policy and I have read and familiarized myself with the contents of the Policy. I understand that I am a “Covered Person” within the meaning of the Policy and am subject to, and bound by, the Policy as described below.</w:t>
      </w:r>
    </w:p>
    <w:p>
      <w:pPr>
        <w:pStyle w:val="TextBody"/>
        <w:bidi w:val="0"/>
        <w:spacing w:before="120" w:after="120"/>
        <w:jc w:val="both"/>
        <w:rPr/>
      </w:pPr>
      <w:r>
        <w:rPr/>
      </w:r>
    </w:p>
    <w:p>
      <w:pPr>
        <w:pStyle w:val="TextBody"/>
        <w:bidi w:val="0"/>
        <w:spacing w:lineRule="auto" w:line="240" w:before="120" w:after="120"/>
        <w:jc w:val="both"/>
        <w:rPr>
          <w:rFonts w:ascii="Calibri;sans-serif" w:hAnsi="Calibri;sans-serif"/>
          <w:b w:val="false"/>
          <w:color w:val="000000"/>
          <w:sz w:val="22"/>
        </w:rPr>
      </w:pPr>
      <w:r>
        <w:rPr>
          <w:rFonts w:ascii="Calibri;sans-serif" w:hAnsi="Calibri;sans-serif"/>
          <w:b w:val="false"/>
          <w:color w:val="000000"/>
          <w:sz w:val="22"/>
        </w:rPr>
        <w:t>By my signature below, I acknowledge, understand, accept and agree to be subject to the terms and conditions of the Policy including, without limitation, the possible clawback or recoupment of Incentive Compensation (as defined in the Policy) previously paid to me or the forfeiture of vested and unvested Incentive Compensation. I further understand that I am subject to the terms and conditions of the Policy, as such Policy may be amended from time to time by the Company to the extent required by applicable law, regulation or rule of any governmental authority or any national securities exchange, notwithstanding the terms and conditions of any agreement, arrangement, plan, policy or arrangement including, without limitation, the employment agreement between me and the Company or any of its affiliates. I acknowledge that the Policy will be amended as the Board of Directors of the Company deems necessary to reflect final regulations adopted by the Securities and Exchange Commission under Section 10D of the Securities Exchange Act of 1934, as amended, and to comply with any rules or standards adopted by a national securities exchange on which the Company’s shares are listed. I further understand and agree that any action taken by the Company pursuant to the Policy shall not constitute or give rise to any constructive termination of employment, “good reason,” breach of contract or other similar rights under any Company agreement, arrangement, plan, award, program, policy (in each case, whether oral or written) or otherwise or give rise to any right that I have, or otherwise could have, to indemnification from the Company or otherwise.</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40" w:before="120" w:after="120"/>
        <w:jc w:val="both"/>
        <w:rPr>
          <w:rFonts w:ascii="Calibri;sans-serif" w:hAnsi="Calibri;sans-serif"/>
          <w:b w:val="false"/>
          <w:color w:val="000000"/>
          <w:sz w:val="22"/>
        </w:rPr>
      </w:pPr>
      <w:r>
        <w:rPr>
          <w:rFonts w:ascii="Calibri;sans-serif" w:hAnsi="Calibri;sans-serif"/>
          <w:b w:val="false"/>
          <w:color w:val="000000"/>
          <w:sz w:val="22"/>
        </w:rPr>
        <w:t>_________________________________            ____________________</w:t>
        <w:br/>
        <w:t>(signature of Covered Person)                (Date)</w:t>
      </w:r>
    </w:p>
    <w:p>
      <w:pPr>
        <w:pStyle w:val="TextBody"/>
        <w:bidi w:val="0"/>
        <w:spacing w:lineRule="auto" w:line="240" w:before="0" w:after="0"/>
        <w:jc w:val="both"/>
        <w:rPr>
          <w:color w:val="000000"/>
        </w:rPr>
      </w:pPr>
      <w:r>
        <w:rPr>
          <w:color w:val="000000"/>
        </w:rPr>
        <w:t>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53365"/>
                <wp:effectExtent l="0" t="0" r="0" b="0"/>
                <wp:wrapNone/>
                <wp:docPr id="119" name="Frame105"/>
                <a:graphic xmlns:a="http://schemas.openxmlformats.org/drawingml/2006/main">
                  <a:graphicData uri="http://schemas.microsoft.com/office/word/2010/wordprocessingShape">
                    <wps:wsp>
                      <wps:cNvSpPr txBox="1"/>
                      <wps:spPr>
                        <a:xfrm>
                          <a:off x="0" y="0"/>
                          <a:ext cx="6480175" cy="253365"/>
                        </a:xfrm>
                        <a:prstGeom prst="rect"/>
                        <a:solidFill>
                          <a:srgbClr val="FFFFFF"/>
                        </a:solidFill>
                      </wps:spPr>
                      <wps:txb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6</w:t>
                            </w:r>
                            <w:r>
                              <w:rPr>
                                <w:color w:val="2F5496"/>
                              </w:rPr>
                              <w:t xml:space="preserve"> </w:t>
                            </w:r>
                            <w:r>
                              <w:rPr>
                                <w:rFonts w:ascii="Calibri;sans-serif" w:hAnsi="Calibri;sans-serif"/>
                                <w:b w:val="false"/>
                                <w:color w:val="2F5496"/>
                                <w:sz w:val="22"/>
                              </w:rPr>
                              <w:t>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right"/>
                        <w:rPr/>
                      </w:pPr>
                      <w:r>
                        <w:rPr>
                          <w:rFonts w:ascii="Calibri;sans-serif" w:hAnsi="Calibri;sans-serif"/>
                          <w:b w:val="false"/>
                          <w:color w:val="2F5496"/>
                          <w:sz w:val="22"/>
                        </w:rPr>
                        <w:t xml:space="preserve">Page </w:t>
                      </w:r>
                      <w:r>
                        <w:rPr>
                          <w:rFonts w:ascii="Calibri;sans-serif" w:hAnsi="Calibri;sans-serif"/>
                          <w:b/>
                          <w:color w:val="2F5496"/>
                          <w:sz w:val="22"/>
                        </w:rPr>
                        <w:t>6</w:t>
                      </w:r>
                      <w:r>
                        <w:rPr>
                          <w:color w:val="2F5496"/>
                        </w:rPr>
                        <w:t xml:space="preserve"> </w:t>
                      </w:r>
                      <w:r>
                        <w:rPr>
                          <w:rFonts w:ascii="Calibri;sans-serif" w:hAnsi="Calibri;sans-serif"/>
                          <w:b w:val="false"/>
                          <w:color w:val="2F5496"/>
                          <w:sz w:val="22"/>
                        </w:rPr>
                        <w:t>of 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Light">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141103/000115752321000786/a52444769ex2_1.htm" TargetMode="External"/><Relationship Id="rId5" Type="http://schemas.openxmlformats.org/officeDocument/2006/relationships/hyperlink" Target="http://www.sec.gov/Archives/edgar/data/1141103/000091205701530091/a2057156zex-3_1.txt" TargetMode="External"/><Relationship Id="rId6" Type="http://schemas.openxmlformats.org/officeDocument/2006/relationships/hyperlink" Target="http://www.sec.gov/Archives/edgar/data/1141103/000162828018002702/ccrn20171231-10kex3x2.htm" TargetMode="External"/><Relationship Id="rId7" Type="http://schemas.openxmlformats.org/officeDocument/2006/relationships/hyperlink" Target="https://www.sec.gov/Archives/edgar/data/1141103/000115752322001752/a53078352ex3_1.htm" TargetMode="External"/><Relationship Id="rId8" Type="http://schemas.openxmlformats.org/officeDocument/2006/relationships/hyperlink" Target="http://www.sec.gov/Archives/edgar/data/1141103/000091205701536175/a2061600zex-4_1.txt" TargetMode="External"/><Relationship Id="rId9" Type="http://schemas.openxmlformats.org/officeDocument/2006/relationships/hyperlink" Target="http://www.sec.gov/Archives/edgar/data/1141103/000144530514003563/ccrn20140630-10qex41rsaform.htm" TargetMode="External"/><Relationship Id="rId10" Type="http://schemas.openxmlformats.org/officeDocument/2006/relationships/hyperlink" Target="http://www.sec.gov/Archives/edgar/data/1141103/000144530514003563/ccrn20140630-10qex42psaform.htm" TargetMode="External"/><Relationship Id="rId11" Type="http://schemas.openxmlformats.org/officeDocument/2006/relationships/hyperlink" Target="http://www.sec.gov/Archives/edgar/data/1141103/000162828020003031/ccrn20191231-10kex4x4.htmccrn20191231-10kex4x4.htm" TargetMode="External"/><Relationship Id="rId12" Type="http://schemas.openxmlformats.org/officeDocument/2006/relationships/hyperlink" Target="http://www.sec.gov/Archives/edgar/data/1141103/000104746903010584/a2106509zex-10_19.htm" TargetMode="External"/><Relationship Id="rId13" Type="http://schemas.openxmlformats.org/officeDocument/2006/relationships/hyperlink" Target="http://www.sec.gov/Archives/edgar/data/1141103/000111650207000527/cejkalease1043.htm" TargetMode="External"/><Relationship Id="rId14" Type="http://schemas.openxmlformats.org/officeDocument/2006/relationships/hyperlink" Target="http://www.sec.gov/Archives/edgar/data/1141103/000111650207000527/exhibit1045.htm" TargetMode="External"/><Relationship Id="rId15" Type="http://schemas.openxmlformats.org/officeDocument/2006/relationships/hyperlink" Target="http://www.sec.gov/Archives/edgar/data/1141103/000111650208001825/exhibit105.htm" TargetMode="External"/><Relationship Id="rId16" Type="http://schemas.openxmlformats.org/officeDocument/2006/relationships/hyperlink" Target="http://www.sec.gov/Archives/edgar/data/1141103/000111650207000972/exhibit102.htm" TargetMode="External"/><Relationship Id="rId17" Type="http://schemas.openxmlformats.org/officeDocument/2006/relationships/hyperlink" Target="http://www.sec.gov/Archives/edgar/data/1141103/000119312507218382/dex101.htm" TargetMode="External"/><Relationship Id="rId18" Type="http://schemas.openxmlformats.org/officeDocument/2006/relationships/hyperlink" Target="http://www.sec.gov/Archives/edgar/data/1141103/000144530513001944/exhibit101.htm" TargetMode="External"/><Relationship Id="rId19" Type="http://schemas.openxmlformats.org/officeDocument/2006/relationships/hyperlink" Target="http://www.sec.gov/Archives/edgar/data/1141103/000095013010001422/dex101.htm" TargetMode="External"/><Relationship Id="rId20" Type="http://schemas.openxmlformats.org/officeDocument/2006/relationships/hyperlink" Target="http://www.sec.gov/Archives/edgar/data/1141103/000135448815004495/ccrn_ex101.htm" TargetMode="External"/><Relationship Id="rId21" Type="http://schemas.openxmlformats.org/officeDocument/2006/relationships/hyperlink" Target="http://www.sec.gov/Archives/edgar/data/1141103/000135448815004495/ccrn_ex103.htm" TargetMode="External"/><Relationship Id="rId22" Type="http://schemas.openxmlformats.org/officeDocument/2006/relationships/hyperlink" Target="http://www.sec.gov/Archives/edgar/data/1141103/000115752315003645/a51213647ex10_1.htm" TargetMode="External"/><Relationship Id="rId23" Type="http://schemas.openxmlformats.org/officeDocument/2006/relationships/hyperlink" Target="http://www.sec.gov/Archives/edgar/data/1141103/000162828016012724/exhibit1043.htm" TargetMode="External"/><Relationship Id="rId24" Type="http://schemas.openxmlformats.org/officeDocument/2006/relationships/hyperlink" Target="http://www.sec.gov/Archives/edgar/data/1141103/000162828016020835/ccrn2016-09x30x10qex10x2.htm" TargetMode="External"/><Relationship Id="rId25" Type="http://schemas.openxmlformats.org/officeDocument/2006/relationships/hyperlink" Target="http://www.sec.gov/Archives/edgar/data/1141103/000165495417005530/ccrn_ex101.htm" TargetMode="External"/><Relationship Id="rId26" Type="http://schemas.openxmlformats.org/officeDocument/2006/relationships/hyperlink" Target="http://www.sec.gov/Archives/edgar/data/1141103/000162828017010809/ccrn2017-09x30x10qex10x1.htm" TargetMode="External"/><Relationship Id="rId27" Type="http://schemas.openxmlformats.org/officeDocument/2006/relationships/hyperlink" Target="http://www.sec.gov/Archives/edgar/data/1141103/000162828018002702/ccrn20171231-10kex10x55.htm" TargetMode="External"/><Relationship Id="rId28" Type="http://schemas.openxmlformats.org/officeDocument/2006/relationships/hyperlink" Target="http://www.sec.gov/Archives/edgar/data/1141103/000115752319000077/a51926439ex10_1.htm" TargetMode="External"/><Relationship Id="rId29" Type="http://schemas.openxmlformats.org/officeDocument/2006/relationships/hyperlink" Target="http://www.sec.gov/Archives/edgar/data/1141103/000115752319000203/a51933754ex10_1.htm" TargetMode="External"/><Relationship Id="rId30" Type="http://schemas.openxmlformats.org/officeDocument/2006/relationships/hyperlink" Target="http://www.sec.gov/Archives/edgar/data/1141103/000115752319002114/a52118196ex10_1.htm" TargetMode="External"/><Relationship Id="rId31" Type="http://schemas.openxmlformats.org/officeDocument/2006/relationships/hyperlink" Target="http://www.sec.gov/Archives/edgar/data/1141103/000115752320000949/a52243705ex10_1.htm" TargetMode="External"/><Relationship Id="rId32" Type="http://schemas.openxmlformats.org/officeDocument/2006/relationships/hyperlink" Target="http://www.sec.gov/Archives/edgar/data/1141103/000115752320000949/a52243705ex10_1.htm" TargetMode="External"/><Relationship Id="rId33" Type="http://schemas.openxmlformats.org/officeDocument/2006/relationships/hyperlink" Target="http://www.sec.gov/Archives/edgar/data/1141103/000115752321000076/a52367224ex10_1.htm" TargetMode="External"/><Relationship Id="rId34" Type="http://schemas.openxmlformats.org/officeDocument/2006/relationships/hyperlink" Target="http://www.sec.gov/Archives/edgar/data/1141103/000115752321000076/a52367224ex10_2.htm" TargetMode="External"/><Relationship Id="rId35" Type="http://schemas.openxmlformats.org/officeDocument/2006/relationships/hyperlink" Target="https://www.sec.gov/Archives/edgar/data/1141103/000162828021003296/ccrn20201221-10kex10x29.htm" TargetMode="External"/><Relationship Id="rId36" Type="http://schemas.openxmlformats.org/officeDocument/2006/relationships/hyperlink" Target="https://www.sec.gov/Archives/edgar/data/1141103/000162828021003296/ccrn20201231-10kex10x30.htm" TargetMode="External"/><Relationship Id="rId37" Type="http://schemas.openxmlformats.org/officeDocument/2006/relationships/hyperlink" Target="https://www.sec.gov/Archives/edgar/data/1141103/000115752321000317/a52393385ex10_1.htm" TargetMode="External"/><Relationship Id="rId38" Type="http://schemas.openxmlformats.org/officeDocument/2006/relationships/hyperlink" Target="https://www.sec.gov/Archives/edgar/data/0001141103/000115752321000639/a52426652ex10_1.htm" TargetMode="External"/><Relationship Id="rId39" Type="http://schemas.openxmlformats.org/officeDocument/2006/relationships/hyperlink" Target="https://www.sec.gov/Archives/edgar/data/0001141103/000115752321000639/a52426652ex10_2.htm" TargetMode="External"/><Relationship Id="rId40" Type="http://schemas.openxmlformats.org/officeDocument/2006/relationships/hyperlink" Target="https://www.sec.gov/Archives/edgar/data/0001141103/000115752321000786/a52444769ex10_1.htm" TargetMode="External"/><Relationship Id="rId41" Type="http://schemas.openxmlformats.org/officeDocument/2006/relationships/hyperlink" Target="https://www.sec.gov/Archives/edgar/data/0001141103/000115752321000786/a52444769ex10_2.htm" TargetMode="External"/><Relationship Id="rId42" Type="http://schemas.openxmlformats.org/officeDocument/2006/relationships/hyperlink" Target="https://www.sec.gov/Archives/edgar/data/1141103/000115752321001436/a52534862ex10_1.htm" TargetMode="External"/><Relationship Id="rId43" Type="http://schemas.openxmlformats.org/officeDocument/2006/relationships/hyperlink" Target="https://www.sec.gov/Archives/edgar/data/0001141103/000115752321001436/a52534862ex10_2.htm" TargetMode="External"/><Relationship Id="rId44" Type="http://schemas.openxmlformats.org/officeDocument/2006/relationships/hyperlink" Target="https://www.sec.gov/Archives/edgar/data/1141103/000115752322000069/a52564385ex10_1.htm" TargetMode="External"/><Relationship Id="rId45" Type="http://schemas.openxmlformats.org/officeDocument/2006/relationships/hyperlink" Target="https://www.sec.gov/Archives/edgar/data/1141103/000115752322000069/a52564385ex10_2.htm" TargetMode="External"/><Relationship Id="rId46" Type="http://schemas.openxmlformats.org/officeDocument/2006/relationships/hyperlink" Target="https://www.sec.gov/Archives/edgar/data/1141103/000115752322000358/a52612995ex10_1.htm" TargetMode="External"/><Relationship Id="rId47" Type="http://schemas.openxmlformats.org/officeDocument/2006/relationships/hyperlink" Target="https://www.sec.gov/Archives/edgar/data/1141103/000162828022012463/ccrn20220331-10qex10x2.htm" TargetMode="External"/><Relationship Id="rId48" Type="http://schemas.openxmlformats.org/officeDocument/2006/relationships/hyperlink" Target="https://www.sec.gov/Archives/edgar/data/1141103/000115752323000574/a53381943_ex101.htm" TargetMode="External"/><Relationship Id="rId49" Type="http://schemas.openxmlformats.org/officeDocument/2006/relationships/hyperlink" Target="https://www.sec.gov/Archives/edgar/data/1141103/000115752323001455/a53567346ex10_1.htm" TargetMode="External"/><Relationship Id="rId50" Type="http://schemas.openxmlformats.org/officeDocument/2006/relationships/hyperlink" Target="https://www.sec.gov/Archives/edgar/data/1141103/000162828022004263/ccrn20211231-10kex14x1.htm" TargetMode="External"/><Relationship Id="rId51" Type="http://schemas.openxmlformats.org/officeDocument/2006/relationships/image" Target="media/image3.jpeg"/><Relationship Id="rId52" Type="http://schemas.openxmlformats.org/officeDocument/2006/relationships/image" Target="media/image4.png"/><Relationship Id="rId53" Type="http://schemas.openxmlformats.org/officeDocument/2006/relationships/image" Target="media/image3.jpeg"/><Relationship Id="rId54" Type="http://schemas.openxmlformats.org/officeDocument/2006/relationships/image" Target="media/image4.png"/><Relationship Id="rId55" Type="http://schemas.openxmlformats.org/officeDocument/2006/relationships/image" Target="media/image3.jpeg"/><Relationship Id="rId56" Type="http://schemas.openxmlformats.org/officeDocument/2006/relationships/image" Target="media/image4.png"/><Relationship Id="rId57" Type="http://schemas.openxmlformats.org/officeDocument/2006/relationships/image" Target="media/image3.jpeg"/><Relationship Id="rId58" Type="http://schemas.openxmlformats.org/officeDocument/2006/relationships/image" Target="media/image4.png"/><Relationship Id="rId59" Type="http://schemas.openxmlformats.org/officeDocument/2006/relationships/image" Target="media/image3.jpeg"/><Relationship Id="rId60" Type="http://schemas.openxmlformats.org/officeDocument/2006/relationships/image" Target="media/image4.png"/><Relationship Id="rId61" Type="http://schemas.openxmlformats.org/officeDocument/2006/relationships/image" Target="media/image3.jpeg"/><Relationship Id="rId62" Type="http://schemas.openxmlformats.org/officeDocument/2006/relationships/image" Target="media/image4.pn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54376</Words>
  <Characters>309091</Characters>
  <CharactersWithSpaces>361537</CharactersWithSpaces>
  <Paragraphs>3918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