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2660" w:hanging="181"/>
        <w:spacing w:after="0"/>
        <w:tabs>
          <w:tab w:leader="none" w:pos="2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34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188" w:right="45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500"/>
          </w:cols>
          <w:pgMar w:left="320" w:top="1188"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88" w:right="45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640"/>
          </w:cols>
          <w:pgMar w:left="320" w:top="1188"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980"/>
          </w:cols>
          <w:pgMar w:left="320" w:top="1188" w:right="459" w:bottom="1440" w:gutter="0" w:footer="0" w:header="0"/>
          <w:type w:val="continuous"/>
        </w:sectPr>
      </w:pPr>
    </w:p>
    <w:p>
      <w:pPr>
        <w:spacing w:after="0" w:line="21"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119"/>
        <w:spacing w:after="0" w:line="184" w:lineRule="exact"/>
        <w:tabs>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1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8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w:t>
      </w:r>
      <w:r>
        <w:rPr>
          <w:rFonts w:ascii="Times New Roman" w:cs="Times New Roman" w:eastAsia="Times New Roman" w:hAnsi="Times New Roman"/>
          <w:sz w:val="17"/>
          <w:szCs w:val="17"/>
          <w:color w:val="auto"/>
        </w:rPr>
        <w:t>32,759,952</w:t>
      </w:r>
      <w:r>
        <w:rPr>
          <w:rFonts w:ascii="Times New Roman" w:cs="Times New Roman" w:eastAsia="Times New Roman" w:hAnsi="Times New Roman"/>
          <w:sz w:val="16"/>
          <w:szCs w:val="16"/>
          <w:color w:val="auto"/>
        </w:rPr>
        <w:t xml:space="preserve"> shares of common stock, par value $0.0001 per share, as of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Statements regarding the proposed Aya Merger (as defined below); the expected timing and closing of the proposed Aya Merger; the Company’s ability to consummate the proposed Aya Merger; the expected benefits of the proposed Aya Merger and other considerations taken into account by the Company’s Board of Directors in approving the proposed Aya Merger; the amounts to be received by stockholders in connection with the proposed Aya Merger; and expectations for the Company prior to and following the closing of the proposed Aya Merger, may be deemed to be forward-looking statements.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timing to consummate the proposed Aya Merger, the risk that a condition of closing of the proposed Aya Merger may not be satisfied or that the closing of the proposed Aya Merger might otherwise not occur, the risk that the Aya Merger may not be completed on the terms or in the time frame expected by the Company, due to such factors as delays in obtaining regulatory approvals due to the U.S. government shutdown that began in October 2025, the diversion of management time on transaction-related issues, risks related to disruption of management time from ongoing business operations due to the proposed Aya Merger, the risk that any announcements relating to the proposed Aya Merger could have adverse effects on the market price of the common stock of the Company, the risk that the proposed Aya Merger and its announcement could have an adverse effect on the ability of the Company to retain customers and retain and hire key personnel and maintain relationships with its suppliers and customers, the occurrence of any event, change or other circumstance or condition that could give rise to the termination of the Merger Agreement (as defined below), including in circumstances requiring the Company to pay a termination fee, the risk that competing offers will be made, unexpected costs, impairments, fees, charges or expenses resulting from the Aya Merger, potential litigation relating to the Aya Merger that could be instituted against the parties to the Merger Agreement or their respective directors, managers or officers, including the effects of any outcomes related thereto, the overall macroeconomic environment, including increased inflation and interest rates, demand for the healthcare services that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2024, as amended by Amendment No. 1 on Form 10-K/A (2024 Form 10-K), as filed and updated in our subsequent Quarterly Reports on Form 10-Q and other filings with the Securities and Exchange Commission (SEC).</w:t>
      </w: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9"/>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gridSpan w:val="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460" w:type="dxa"/>
            <w:vAlign w:val="bottom"/>
            <w:gridSpan w:val="7"/>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Income (Unaudited)</w:t>
            </w:r>
          </w:p>
        </w:tc>
        <w:tc>
          <w:tcPr>
            <w:tcW w:w="1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3000" w:type="dxa"/>
            <w:vAlign w:val="bottom"/>
            <w:gridSpan w:val="3"/>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3680" w:type="dxa"/>
            <w:vAlign w:val="bottom"/>
            <w:gridSpan w:val="5"/>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400" w:type="dxa"/>
            <w:vAlign w:val="bottom"/>
            <w:gridSpan w:val="4"/>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500" w:type="dxa"/>
            <w:vAlign w:val="bottom"/>
            <w:gridSpan w:val="10"/>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40</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0" w:type="dxa"/>
            <w:vAlign w:val="bottom"/>
            <w:tcBorders>
              <w:left w:val="single" w:sz="8" w:color="0000FF"/>
            </w:tcBorders>
            <w:gridSpan w:val="1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$9,162 in 2025 and $9,301 in 2024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$25,547 in 2025 and $19,285 in 2024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10,846</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589,251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120,402</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34,425</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170,292</w:t>
            </w: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202,338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218,059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408,142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418,959</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589,251</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9"/>
                <w:szCs w:val="19"/>
                <w:color w:val="auto"/>
              </w:rPr>
            </w:pPr>
          </w:p>
        </w:tc>
        <w:tc>
          <w:tcPr>
            <w:tcW w:w="212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821,804</w:t>
            </w:r>
          </w:p>
        </w:tc>
        <w:tc>
          <w:tcPr>
            <w:tcW w:w="0" w:type="dxa"/>
            <w:vAlign w:val="bottom"/>
          </w:tcPr>
          <w:p>
            <w:pPr>
              <w:spacing w:after="0"/>
              <w:rPr>
                <w:sz w:val="1"/>
                <w:szCs w:val="1"/>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177,804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0" w:type="dxa"/>
            <w:vAlign w:val="bottom"/>
          </w:tcPr>
          <w:p>
            <w:pPr>
              <w:spacing w:after="0"/>
              <w:rPr>
                <w:sz w:val="1"/>
                <w:szCs w:val="1"/>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and other losses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312,266</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1,047,496</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87" w:right="939" w:bottom="1440" w:gutter="0" w:footer="0" w:header="0"/>
        </w:sectPr>
      </w:pPr>
    </w:p>
    <w:bookmarkStart w:id="5" w:name="page6"/>
    <w:bookmarkEnd w:id="5"/>
    <w:p>
      <w:pPr>
        <w:ind w:left="39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 xml:space="preserve">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June 30, 2025</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June 30, 2024</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p>
      <w:pPr>
        <w:spacing w:after="0" w:line="30" w:lineRule="exact"/>
        <w:rPr>
          <w:sz w:val="20"/>
          <w:szCs w:val="20"/>
          <w:color w:val="auto"/>
        </w:rPr>
      </w:pPr>
    </w:p>
    <w:p>
      <w:pPr>
        <w:ind w:left="120" w:firstLine="13"/>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2"/>
        </w:trPr>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32,523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202,770</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210,910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412,242</w:t>
            </w:r>
          </w:p>
        </w:tc>
        <w:tc>
          <w:tcPr>
            <w:tcW w:w="0" w:type="dxa"/>
            <w:vAlign w:val="bottom"/>
          </w:tcPr>
          <w:p>
            <w:pPr>
              <w:spacing w:after="0"/>
              <w:rPr>
                <w:sz w:val="1"/>
                <w:szCs w:val="1"/>
                <w:color w:val="auto"/>
              </w:rPr>
            </w:pP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766</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06"/>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(4,774)</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(4,774)</w:t>
            </w:r>
          </w:p>
        </w:tc>
        <w:tc>
          <w:tcPr>
            <w:tcW w:w="0" w:type="dxa"/>
            <w:vAlign w:val="bottom"/>
          </w:tcPr>
          <w:p>
            <w:pPr>
              <w:spacing w:after="0"/>
              <w:rPr>
                <w:sz w:val="1"/>
                <w:szCs w:val="1"/>
                <w:color w:val="auto"/>
              </w:rPr>
            </w:pP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203,529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206,136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408,142</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Pr>
          <w:p>
            <w:pPr>
              <w:spacing w:after="0"/>
              <w:rPr>
                <w:sz w:val="12"/>
                <w:szCs w:val="12"/>
                <w:color w:val="auto"/>
              </w:rPr>
            </w:pPr>
          </w:p>
        </w:tc>
        <w:tc>
          <w:tcPr>
            <w:tcW w:w="74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Pr>
          <w:p>
            <w:pPr>
              <w:spacing w:after="0"/>
              <w:rPr>
                <w:sz w:val="12"/>
                <w:szCs w:val="12"/>
                <w:color w:val="auto"/>
              </w:rPr>
            </w:pPr>
          </w:p>
        </w:tc>
        <w:tc>
          <w:tcPr>
            <w:tcW w:w="940" w:type="dxa"/>
            <w:vAlign w:val="bottom"/>
          </w:tcPr>
          <w:p>
            <w:pPr>
              <w:jc w:val="center"/>
              <w:ind w:right="124"/>
              <w:spacing w:after="0" w:line="14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2"/>
                <w:szCs w:val="12"/>
                <w:color w:val="auto"/>
              </w:rPr>
            </w:pPr>
          </w:p>
        </w:tc>
        <w:tc>
          <w:tcPr>
            <w:tcW w:w="1300" w:type="dxa"/>
            <w:vAlign w:val="bottom"/>
          </w:tcPr>
          <w:p>
            <w:pPr>
              <w:jc w:val="center"/>
              <w:ind w:right="104"/>
              <w:spacing w:after="0" w:line="14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2"/>
                <w:szCs w:val="12"/>
                <w:color w:val="auto"/>
              </w:rPr>
            </w:pPr>
          </w:p>
        </w:tc>
        <w:tc>
          <w:tcPr>
            <w:tcW w:w="110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02"/>
        </w:trPr>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2"/>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33,388</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219,257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433,320</w:t>
            </w:r>
          </w:p>
        </w:tc>
        <w:tc>
          <w:tcPr>
            <w:tcW w:w="0" w:type="dxa"/>
            <w:vAlign w:val="bottom"/>
          </w:tcPr>
          <w:p>
            <w:pPr>
              <w:spacing w:after="0"/>
              <w:rPr>
                <w:sz w:val="1"/>
                <w:szCs w:val="1"/>
                <w:color w:val="auto"/>
              </w:rPr>
            </w:pP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870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203"/>
        </w:trPr>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(11,920)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(11,920)</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7"/>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2,555</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2,555</w:t>
            </w:r>
          </w:p>
        </w:tc>
        <w:tc>
          <w:tcPr>
            <w:tcW w:w="0" w:type="dxa"/>
            <w:vAlign w:val="bottom"/>
          </w:tcPr>
          <w:p>
            <w:pPr>
              <w:spacing w:after="0"/>
              <w:rPr>
                <w:sz w:val="1"/>
                <w:szCs w:val="1"/>
                <w:color w:val="auto"/>
              </w:rPr>
            </w:pP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204,273</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221,812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424,691</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-2485390</wp:posOffset>
            </wp:positionV>
            <wp:extent cx="7106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-2219325</wp:posOffset>
            </wp:positionV>
            <wp:extent cx="710628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-1962150</wp:posOffset>
            </wp:positionV>
            <wp:extent cx="7106285"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827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-1079500</wp:posOffset>
            </wp:positionV>
            <wp:extent cx="71062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-814070</wp:posOffset>
            </wp:positionV>
            <wp:extent cx="71062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-556895</wp:posOffset>
            </wp:positionV>
            <wp:extent cx="71062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-299720</wp:posOffset>
            </wp:positionV>
            <wp:extent cx="71062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00"/>
            <w:col w:w="7120"/>
          </w:cols>
          <w:pgMar w:left="360" w:top="8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6" w:name="page7"/>
    <w:bookmarkEnd w:id="6"/>
    <w:p>
      <w:pPr>
        <w:ind w:left="39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 xml:space="preserve">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ectPr>
          <w:pgSz w:w="11900" w:h="16838" w:orient="portrait"/>
          <w:cols w:equalWidth="0" w:num="1">
            <w:col w:w="11180"/>
          </w:cols>
          <w:pgMar w:left="360" w:top="10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December 31, 2024</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December 31, 2023</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p>
      <w:pPr>
        <w:spacing w:after="0" w:line="30" w:lineRule="exact"/>
        <w:rPr>
          <w:sz w:val="20"/>
          <w:szCs w:val="20"/>
          <w:color w:val="auto"/>
        </w:rPr>
      </w:pPr>
    </w:p>
    <w:p>
      <w:pPr>
        <w:ind w:left="120"/>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28"/>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96"/>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32,277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202,338</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218,059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418,959</w:t>
            </w: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(1,763)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w:t>
            </w: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2,954</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2,954</w:t>
            </w: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6"/>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(11,923)</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(11,923)</w:t>
            </w: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203,529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206,136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408,142</w:t>
            </w:r>
          </w:p>
        </w:tc>
      </w:tr>
      <w:tr>
        <w:trPr>
          <w:trHeight w:val="23"/>
        </w:trPr>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7"/>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9"/>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96"/>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34,385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236,417</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(1,385)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232,615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467,651</w:t>
            </w: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(2,960)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(2,960)</w:t>
            </w: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4,327</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4,327</w:t>
            </w:r>
          </w:p>
        </w:tc>
      </w:tr>
      <w:tr>
        <w:trPr>
          <w:trHeight w:val="203"/>
        </w:trPr>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(33,233)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(33,234)</w:t>
            </w: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(278)</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7"/>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(10,803)</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(10,803)</w:t>
            </w: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204,273</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221,812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424,691</w:t>
            </w:r>
          </w:p>
        </w:tc>
      </w:tr>
      <w:tr>
        <w:trPr>
          <w:trHeight w:val="23"/>
        </w:trPr>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-2485390</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-2219960</wp:posOffset>
            </wp:positionV>
            <wp:extent cx="71062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-1962785</wp:posOffset>
            </wp:positionV>
            <wp:extent cx="71062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-1079500</wp:posOffset>
            </wp:positionV>
            <wp:extent cx="7106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-814070</wp:posOffset>
            </wp:positionV>
            <wp:extent cx="71062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-556895</wp:posOffset>
            </wp:positionV>
            <wp:extent cx="71062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-299720</wp:posOffset>
            </wp:positionV>
            <wp:extent cx="71062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00"/>
            <w:col w:w="7120"/>
          </w:cols>
          <w:pgMar w:left="360" w:top="10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76"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105,859</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(33,592)</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95,882</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(42,772)</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2025.</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2024 included in the 2024 Form 10-K. The December 31, 2024 condensed consolidated balance sheet included herein was derived from the December 31, 2024 audited consolidated balance sheet included in the 2024 Form 10-K.</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condensed consolidated statements of operations and comprehensive (loss)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 Healthcare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On December 3, 2024, the Company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The consummation of the Aya Merger is subject to the satisfaction of a number of closing conditions, including, without limitation, stockholder approval which was received at a special meeting held on February 28, 2025 and the successful completion of a review by the U.S. Federal Trade Commission (FTC) under the Hart-Scott-Rodino Antitrust Improvements Act of 1976 (HSR Act). On February 20, 2025, the Company and Aya Healthcare each received a request for additional information (Second Request) from the FTC in connection with the FTC’s review of the transactions contemplated by the Merger Agreement. As of August 29, 2025, each of the Company and Aya Healthcare had certified to the FTC that it had substantially complied with the Second Request and, as a result of discussions with the FTC, the HSR waiting period was set to expire on November 17, 2025. In addition, the Aya Merger end date was extended from September 3, 2025 to December 3, 2025. However, the FTC is closed during the government shutdown and the expiry of the HSR waiting period extends day-for-day while the government shutdown continues. As a result, absent any further agreement from the FTC, the HSR waiting period is now set to expire after the end date contemplated by the Merger Agreement, which is currently December 3, 2025. Absent agreement between the Company and Aya, if the transaction has not closed by December 3, 2025, either party may terminate the Merger Agreement. The Company and Aya are currently discussing an extension of the end date beyond December 3, 2025, but there can be no assurance that an agreement with respect to an extension will be reached. If the Aya Merger is completed, the Company will become a private company and its common stock will no longer trade on Nasdaq. During the three and nine months ended September 30, 2025, the Company incurred</w:t>
      </w:r>
    </w:p>
    <w:p>
      <w:pPr>
        <w:spacing w:after="0" w:line="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$4.1 million and $12.2 million, respectively, in fees associated with the pending Aya Merger, which is included in acquisition and integration-related costs in the condensed consolidated statements of operations and comprehensive (loss) income. See associated risk factors in Part II, Item 1A. Risk Factors in this Quarterly Report on Form 10-Q and in Part 1, Item 1A. Risk Factors in the 2024 Form 10-K.</w:t>
      </w:r>
    </w:p>
    <w:p>
      <w:pPr>
        <w:spacing w:after="0" w:line="204" w:lineRule="exact"/>
        <w:rPr>
          <w:sz w:val="20"/>
          <w:szCs w:val="20"/>
          <w:color w:val="auto"/>
        </w:rPr>
      </w:pPr>
    </w:p>
    <w:p>
      <w:pPr>
        <w:ind w:right="6220" w:firstLine="8"/>
        <w:spacing w:after="0" w:line="526"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right="280"/>
        <w:spacing w:after="0" w:line="246" w:lineRule="auto"/>
        <w:rPr>
          <w:sz w:val="20"/>
          <w:szCs w:val="20"/>
          <w:color w:val="auto"/>
        </w:rPr>
      </w:pPr>
      <w:r>
        <w:rPr>
          <w:rFonts w:ascii="Times New Roman" w:cs="Times New Roman" w:eastAsia="Times New Roman" w:hAnsi="Times New Roman"/>
          <w:sz w:val="18"/>
          <w:szCs w:val="18"/>
          <w:color w:val="auto"/>
        </w:rPr>
        <w:t>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w:t>
      </w:r>
    </w:p>
    <w:p>
      <w:pPr>
        <w:spacing w:after="0" w:line="1" w:lineRule="exact"/>
        <w:rPr>
          <w:sz w:val="20"/>
          <w:szCs w:val="20"/>
          <w:color w:val="auto"/>
        </w:rPr>
      </w:pPr>
    </w:p>
    <w:p>
      <w:pPr>
        <w:ind w:right="60" w:firstLine="8"/>
        <w:spacing w:after="0" w:line="238"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condensed consolidated financial statements in future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Part II, Item 1A. Risk Factors in this quarterly report on Form 10-Q and in Item 1A. Risk Factors in the 2024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September 30, 2025 and December 31, 2024 totaled $51.2 million and $60.4 million, respectively.</w:t>
      </w:r>
    </w:p>
    <w:p>
      <w:pPr>
        <w:spacing w:after="0" w:line="2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credit losses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35,032</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credit losses, the Company maintains a sales allowance for billing-related adjustments that may arise in the ordinary course of business and adjustments to the reserve are recorded as contra-revenue. The sales allowance balance as of September 30, 2025 and December 31, 2024 was $0.4 million and $0.5 million, respectively.</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t>revenue for the three and nine months ended September 30, 2025 and 2024, or the Company’s accounts receivable balance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and are primarily included in accounts payable and accrued expenses on the condensed consolidated balance sheets. Restructuring costs on the condensed consolidated statements of operations and comprehensive (loss) income primarily include employee termination costs and lease-related exit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The Company adopted this standard for its fiscal year ended December 31, 2024, and its interim periods beginning in the first quarter of 2025, and applied the guidance retrospectively to all prior periods presented in the financial statements. This standard only expanded the Company’s disclosures with no impact to results of operations, cash flows, and financial condition. See Note 12 - Segment Data.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September 18, 2025, the FASB issued ASU No. 2025-06,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amendments remove all references to prescriptive and sequential software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This guidance is effective for fiscal years beginning after December 15, 2027, and interim reporting periods within those annual reporting periods. Early adoption is permitted as of the beginning of an annual reporting period. The amendments in this update permit an entity to apply the new guidance using any of the following transition approaches: (1) a prospective transition approach, (2) a modified transition approach that is based on the status of the project and whether software costs were capitalized before the date of adoption, or (3) a retrospective transition approach. The Company expects to adopt this standard for its first quarter ending March 31, 2028. The Company expects this ASU to have an immaterial impact to results of operations, cash flows, and financial condition.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p>
      <w:pPr>
        <w:ind w:right="180"/>
        <w:spacing w:after="0" w:line="272" w:lineRule="auto"/>
        <w:rPr>
          <w:sz w:val="20"/>
          <w:szCs w:val="20"/>
          <w:color w:val="auto"/>
        </w:rPr>
      </w:pPr>
      <w:r>
        <w:rPr>
          <w:rFonts w:ascii="Times New Roman" w:cs="Times New Roman" w:eastAsia="Times New Roman" w:hAnsi="Times New Roman"/>
          <w:sz w:val="17"/>
          <w:szCs w:val="17"/>
          <w:color w:val="auto"/>
        </w:rPr>
        <w:t xml:space="preserve">On November 4, 2024, the FASB issued ASU No.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which is intended to improve decision usefulness of business entities’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expects to adopt this standard for its annual report for the fiscal year ending December 31, 2027. The Company expects this ASU to only impact its disclosures with no impacts to results of operations, cash flows, and financial condition.</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The Company plans to adopt this standard for its annual report for the fiscal year ended December 31, 2025. The Company expects this ASU to only impact its disclosures with no impacts to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3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243,418</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250,052</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304,883</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264,853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652,211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794,203</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668,546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817,532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864,510</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1,002,683</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888,490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-4354195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-4062730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-3068320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-2776855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-1782445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-1490980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(HireUp) for a purchase price of $6.0 million in cash, subject to adjustment, and $0.8 million in shares (or 29,811 shares) of the Company’s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3" w:name="page14"/>
    <w:bookmarkEnd w:id="13"/>
    <w:p>
      <w:pPr>
        <w:ind w:right="20"/>
        <w:spacing w:after="0" w:line="242" w:lineRule="auto"/>
        <w:rPr>
          <w:sz w:val="20"/>
          <w:szCs w:val="20"/>
          <w:color w:val="auto"/>
        </w:rPr>
      </w:pPr>
      <w:r>
        <w:rPr>
          <w:rFonts w:ascii="Times New Roman" w:cs="Times New Roman" w:eastAsia="Times New Roman" w:hAnsi="Times New Roman"/>
          <w:sz w:val="18"/>
          <w:szCs w:val="18"/>
          <w:color w:val="auto"/>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2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fourth quarter of 2024, the Company performed a calculation for the second measurement period, resulting in the achievement of a $4.4 million earnout, which was paid in the first quarter of 2025. See Note 10 -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Other than the fees associated with the pending Aya Merger as discussed in Note 1 - Organization and Basis of Presentation, the Company did not record any acquisition-related costs associated with the Company’s acquisitions for the three and nine months ended September 30, 2025 and the three months ended September 30, 2024, and recorded an immaterial amount for the nine months ended September 30, 2024.</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COMPREHENSIVE (LOSS) INCOME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Total comprehensive (loss) income includes net income or loss and foreign currency translation adjustments, net of any related deferred taxes, and is included within the accompanying condensed consolidated statements of operations and comprehensive (loss)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$1.7 million as of September 30, 2025 and $1.5 million as of December 31, 2024.</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(loss) income for the three and nine months ended September 30, 2025 and 2024 is included in unrealized foreign currency translation loss, net of tax in the condensed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3"/>
                <w:szCs w:val="23"/>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63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Weighted average common shares - Diluted</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8"/>
        <w:spacing w:after="0" w:line="266"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and the nine months ended September 30, 2025 and 2024, the effect of diluted shares was not included in the weighted average share calculation due to the Company’s net operating loss position.</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(loss) income per share attributable to common stockholders in the future that were not included in the computation of diluted net (loss) income per share attributable to common stockholders because to do so would have been anti-dilutive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9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198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(amounts in thousands)</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00" w:type="dxa"/>
            <w:vAlign w:val="bottom"/>
            <w:gridSpan w:val="2"/>
            <w:shd w:val="clear" w:color="auto" w:fill="CCEEFF"/>
          </w:tcPr>
          <w:p>
            <w:pPr>
              <w:jc w:val="right"/>
              <w:ind w:right="555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had the following acquired intangible assets: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of September 30, 2025, estimated future annual amortization expense was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performed a qualitative assessment of each of its reporting units and determined that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September 30, 2025 will prove to be accurate predictions of future performance.</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2025, goodwill by reporting segment was $112.2 million for Nurse and Allied Staffing and $22.9 million for Physician Staffing, for a total of $135.1 million.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As of September 30, 2025 and 2024, the Company performed a qualitative assessment of its trade names and other intangible assets and determined it was not more likely than not that their carrying value may not be recoverable.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6.01% and 6.31% at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80" w:space="360"/>
            <w:col w:w="5000"/>
          </w:cols>
          <w:pgMar w:left="320" w:top="887" w:right="339" w:bottom="1440" w:gutter="0" w:footer="0" w:header="0"/>
        </w:sectPr>
      </w:pP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the London Interbank Offered Rate (LIBOR) as a benchmark interest rate to a replacement alternative benchmark rate or mechanism for loans made in U.S. dollars.</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Secured Overnight Financing Rate (SOFR) or the Base Rate (as defined in the Loan Agreement), at the election of the borrowers, plus an applicable margin. The applicable margin increased 10 basis points due to the credit spread associated with the transition to SOFR.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ABL availability is subject to a borrowing base of up to 85% of secured eligible accounts receivable, subject to adjustment at certain quality levels, minus customary reserves and subject to customary adjustments. Revolving loans and letters of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ind w:right="120"/>
        <w:spacing w:after="0" w:line="266" w:lineRule="auto"/>
        <w:rPr>
          <w:sz w:val="20"/>
          <w:szCs w:val="20"/>
          <w:color w:val="auto"/>
        </w:rPr>
      </w:pPr>
      <w:r>
        <w:rPr>
          <w:rFonts w:ascii="Times New Roman" w:cs="Times New Roman" w:eastAsia="Times New Roman" w:hAnsi="Times New Roman"/>
          <w:sz w:val="18"/>
          <w:szCs w:val="18"/>
          <w:color w:val="auto"/>
        </w:rPr>
        <w:t>issued under the Loan Agreement reduce availability under the ABL on a dollar-for-dollar basis. At September 30, 2025, there were no borrowings drawn under the ABL, and borrowing base availability under the ABL was $121.4 million, with $103.0 million of availability net of $18.4 million of letters of credit outstanding related to workers’ compensation and professional liability policies.</w:t>
      </w:r>
    </w:p>
    <w:p>
      <w:pPr>
        <w:spacing w:after="0" w:line="6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As of September 30, 2025,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applicable to the Company and its subsidiaries. For the three months ended September 30, 2025, the excess availability did not fall below the stated threshold and, as a result, there was no covenant compliance period. Obligations under the ABL are secured by substantially all of the assets of the borrowers and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the Company entered into a new lease agreement for its new corporate headquarters in Boca Raton, Florida, as the lease agreement for its current corporate headquarters is set to expire on December 31, 2025. The Company will take possession of its new corporate headquarters on December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484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color w:val="auto"/>
              </w:rPr>
              <w:t>(amounts in thousands)</w:t>
            </w:r>
          </w:p>
        </w:tc>
        <w:tc>
          <w:tcPr>
            <w:tcW w:w="52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1,851</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846</w:t>
            </w:r>
          </w:p>
        </w:tc>
        <w:tc>
          <w:tcPr>
            <w:tcW w:w="2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1,358</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September 30,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right="1260"/>
        <w:spacing w:after="0" w:line="29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Right-of-use assets acquired under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righ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1,882</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34"/>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bl>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346</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913</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918</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bl>
    <w:p>
      <w:pPr>
        <w:spacing w:after="0" w:line="200" w:lineRule="exact"/>
        <w:rPr>
          <w:sz w:val="20"/>
          <w:szCs w:val="20"/>
          <w:color w:val="auto"/>
        </w:rPr>
      </w:pPr>
    </w:p>
    <w:p>
      <w:pPr>
        <w:sectPr>
          <w:pgSz w:w="11900" w:h="16838" w:orient="portrait"/>
          <w:cols w:equalWidth="0" w:num="2">
            <w:col w:w="7180" w:space="100"/>
            <w:col w:w="3880"/>
          </w:cols>
          <w:pgMar w:left="320" w:top="887" w:right="419" w:bottom="1440" w:gutter="0" w:footer="0" w:header="0"/>
        </w:sectPr>
      </w:pP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and comprehensive (loss) income, depending on the nature of the leased asset. Operating lease expense is reported net of sublease income, which is not material.</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did not have any material operating leases that had not yet commenced, and does not have any finance lease contracts.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20" w:name="page21"/>
    <w:bookmarkEnd w:id="20"/>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187"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698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September 30, 2025</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2,874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2,869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material impairment charges during the three and nine months ended September 30,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instruments not measured or recorded at fair value include earnout liabilities related to the Mint acquisition, as discussed below.</w:t>
      </w:r>
    </w:p>
    <w:p>
      <w:pPr>
        <w:spacing w:after="0" w:line="23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Potential earnout payments related to the Mint acquisition were contingent upon meeting certain performance requirements based on 2022 through 2024 performance. On a quarterly basis, the Company performed an analysis using multiple forecasted scenarios to determine the fair value of the earnout liability. In the fourth quarter of 2023, the Company performed the earnout calculation for the first measurement period, resulting in an earnout of $4.9 million, which was paid in the first quarter of 2024. During the fourth quarter of 2024, the Company performed a calculation for the second measurement period, resulting in the achievement of a $4.4 million earnout, which was paid in the first quarter of 2025. See Note 4 -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1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was set at $100.0 million (the Repurchase Program).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w:t>
      </w:r>
    </w:p>
    <w:p>
      <w:pPr>
        <w:spacing w:after="0" w:line="21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During the third quarter of 2023, the Company entered into a Rule 10b5-1 Repurchase Plan to allow for share repurchases during the Company’s blackout periods, beginning on January 2, 2024 and effective through November 7, 2024.</w:t>
      </w:r>
    </w:p>
    <w:p>
      <w:pPr>
        <w:spacing w:after="0" w:line="21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repurchased a total of 816,879 shares of common stock for $11.9 million, at an average price of $14.57 per share. During the nine months ended September 30, 2024, the Company repurchased a total of 2,107,035 shares of common stock for $33.2 million, at an average price of $15.75 per share. During the three and nine months ended September 30, 2025, the Company did not repurchase any shares of its common stock, but did pay $0.3 million in excise tax related to previous share repurchases.</w:t>
      </w:r>
    </w:p>
    <w:p>
      <w:pPr>
        <w:spacing w:after="0" w:line="19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$40.5 million remaining for share repurchase under the Repurchase Program, subject to certain conditions in the Company’s Loan Agreement. As of September 30, 2025, the Company had 32,524,455 unrestricted shares of common stock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spacing w:after="0" w:line="21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2020 Plan and the 2024 Plan (Plans) for the nine months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2025, the Company’s Compensation Committee of the Board of Directors approved a 75.5% level of attainment for the 2022 performance-based share awards, resulting in the issuance of 85,001 performance shares that vested on March 31, 2025.</w:t>
      </w:r>
    </w:p>
    <w:p>
      <w:pPr>
        <w:spacing w:after="0" w:line="217"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2025, $0.8 million and $3.0 million, respectively, was included in selling, general and administrative expenses related to share-based payments, and a net of 1,138 and 247,060 shares, respectively, of common stock were issued upon the vesting of restricted and performance stock.</w:t>
      </w:r>
    </w:p>
    <w:p>
      <w:pPr>
        <w:spacing w:after="0" w:line="2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$0.9 million and $4.3 million, respectively, was included in selling, general and administrative expenses related to share-based payments, and a net of 1,163 and 294,414 shares, respectively, of common stock were issued upon the vesting of restricted and performance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spacing w:after="0" w:line="187" w:lineRule="exact"/>
        <w:rPr>
          <w:sz w:val="20"/>
          <w:szCs w:val="20"/>
          <w:color w:val="auto"/>
        </w:rPr>
      </w:pPr>
    </w:p>
    <w:p>
      <w:pPr>
        <w:ind w:left="660" w:right="20" w:hanging="328"/>
        <w:spacing w:after="0" w:line="230" w:lineRule="auto"/>
        <w:tabs>
          <w:tab w:leader="none" w:pos="6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per diem, and healthcare leaders within nursing, allied, human resources, and finance, managed service programs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in order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2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(benefits) costs, restructuring (benefits) costs, legal and other losses, impairment charges, and corporate overhead. Management believes that its measure of contribution income is most consistent with that used to measure the corresponding amounts on its condensed consolidated financial statements.</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420" w:type="dxa"/>
            <w:vAlign w:val="bottom"/>
          </w:tcPr>
          <w:p>
            <w:pPr>
              <w:spacing w:after="0"/>
              <w:rPr>
                <w:sz w:val="14"/>
                <w:szCs w:val="14"/>
                <w:color w:val="auto"/>
              </w:rPr>
            </w:pPr>
          </w:p>
        </w:tc>
        <w:tc>
          <w:tcPr>
            <w:tcW w:w="15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201,950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250,052</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160,715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credit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8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income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420" w:type="dxa"/>
            <w:vAlign w:val="bottom"/>
          </w:tcPr>
          <w:p>
            <w:pPr>
              <w:spacing w:after="0"/>
              <w:rPr>
                <w:sz w:val="14"/>
                <w:szCs w:val="14"/>
                <w:color w:val="auto"/>
              </w:rPr>
            </w:pPr>
          </w:p>
        </w:tc>
        <w:tc>
          <w:tcPr>
            <w:tcW w:w="15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264,853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211,187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(credit)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400" w:type="dxa"/>
            <w:vAlign w:val="bottom"/>
          </w:tcPr>
          <w:p>
            <w:pPr>
              <w:spacing w:after="0"/>
              <w:rPr>
                <w:sz w:val="14"/>
                <w:szCs w:val="14"/>
                <w:color w:val="auto"/>
              </w:rPr>
            </w:pPr>
          </w:p>
        </w:tc>
        <w:tc>
          <w:tcPr>
            <w:tcW w:w="15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668,546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817,532</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533,487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credit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58,287</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41,332</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8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400" w:type="dxa"/>
            <w:vAlign w:val="bottom"/>
          </w:tcPr>
          <w:p>
            <w:pPr>
              <w:spacing w:after="0"/>
              <w:rPr>
                <w:sz w:val="14"/>
                <w:szCs w:val="14"/>
                <w:color w:val="auto"/>
              </w:rPr>
            </w:pPr>
          </w:p>
        </w:tc>
        <w:tc>
          <w:tcPr>
            <w:tcW w:w="15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888,490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706,595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(credit)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64,054</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8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type w:val="continuous"/>
        </w:sectPr>
      </w:pPr>
    </w:p>
    <w:bookmarkStart w:id="27" w:name="page28"/>
    <w:bookmarkEnd w:id="27"/>
    <w:p>
      <w:pPr>
        <w:ind w:right="160"/>
        <w:spacing w:after="0" w:line="261" w:lineRule="auto"/>
        <w:rPr>
          <w:sz w:val="20"/>
          <w:szCs w:val="20"/>
          <w:color w:val="auto"/>
        </w:rPr>
      </w:pPr>
      <w:r>
        <w:rPr>
          <w:rFonts w:ascii="Times New Roman" w:cs="Times New Roman" w:eastAsia="Times New Roman" w:hAnsi="Times New Roman"/>
          <w:sz w:val="18"/>
          <w:szCs w:val="18"/>
          <w:color w:val="auto"/>
        </w:rPr>
        <w:t>Revenue is based on services provided. During the three and nine months ended September 30, 2025 and 2024, all revenue was generated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three and nine months ended September 30, 2025 and 2024.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does not evaluate, manage, or measure performance of segments using asset information; accordingly, total asset information by segment is not prepared or disclosed.</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which also provides information about major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tables in Note 3 - Revenue Recognition, which present segment revenues by services.</w:t>
      </w:r>
    </w:p>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third quarter of 2025, the Company recorded $1.1 million in legal fees and settlement charges related to various cases and claims. The Company believes that the outcome of any outstanding loss contingencies, individually or in the aggregate, as of September 30, 2025 will not have a material adverse effect on its business,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(loss) income and the liability is reflected in sales tax payable within other current liabilities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calculated its effective tax rate estimating its Annual Effective Tax Rate (AETR). For the three and nine months ended September 30, 2024, the Company used actual results to calculate the provision for income taxes since it determined that small changes in estimated ordinary income would result in significant changes in the estimated AETR and would not provide a reliable estimate for the three- and nine-month periods ended September 30, 2024. The Company’s effective tax rate for the three and nine months ended September 30, 2025 was 15.3% and 2.8%, respectively, including the impact of discrete items. The Company’s effective tax rate for the three and nine months ended September 30, 2024 was 24.6% and 13.5%, respectively, including the impact of discrete items. The effective tax rates for the three and nine months ended September 30, 2025 and 2024 were primarily impacted by federal and state taxes. The decrease in the effective tax rates for both periods was primarily related to a decrease in book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approximately $10.3 million of unrecognized tax benefits included in other non-current liabilities,</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$11.8 million, net of deferred taxes, which would impact the effective tax rate if recognized. During the three and nine months ended September 30, 2025, the Company had net increases of $0.3 million and $1.1 million, respectively, to its current year unrecognized tax benefits related to federal and state tax provisions.</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Effective January 1, 2024, many international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The Company currently operates in one country that has adopted the Pillar Two rules, but should meet the safe harbor rules. The Company does not expect the adoption of the Pillar Two rules by any jurisdiction in which it currently operates to have a material impact on its financial statements.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Act) into legislation, which among other changes, restored the full expensing of domestic research and experimental expenditures (R&amp;E) in the year incurred. Further, the Act provides taxpayers the option to deduct unamortized domestic R&amp;E expenditures incurred in taxable years 2022 through 2024 over a one or two-year period. The Company is not aware of any provision in the Act that would have a material adverse impact to the Company’s results of operations, cash flows, or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2024 remain open to examination by certain taxing jurisdictions.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a certain member of the Company’s Board of Directors, who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During the three and nine months ended September 30, 2025 and 2024, the Company incurred an immaterial amount in expenses and had an immaterial payable balance at September 30, 2025 and December 31, 2024.</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$2.2 million and $6.7 million, respectively, for the three and nine months ended September 30, 2025 and $2.7 million and $3.0 million, respectively, for the three and nine months ended September 30, 2024. Accounts receivable due from these entities was an immaterial amount at September 30, 2025 and December 31, 2024.</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2024, as amended by Amendment No. 1 on Form 10-K/A (2024 Form 10-K) (including Part I, Item 1A. “Risk Factors”), our financial statements and the accompanying notes to our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vendor management systems (VMS), in-home care services, education health services, recruitment process outsourcing (RPO), project management, and other outsourcing and consultative services as described in Item 1. “Business” in our 2024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80" w:hanging="328"/>
        <w:spacing w:after="0" w:line="256"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81% of total revenue in the third quarter of 2025. The Nurse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We provide 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143"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19% of total revenue in the third quarter of 2025.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2025, consolidated revenue declined 20.6% year-over-year to $250.1 million, primarily due to volume declines in the Nurse and Allied Staffing and Physician Staffing segments. These declines were partly offset by continued growth in Homecare Staffing, which was up 29.1% over the prior year. Net loss attributable to common stockholders in the third quarter of 2025 was $4.8 million, as compared to net income of $2.6 million for the same period in the prior year.</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cash and cash equivalents totaled $99.1 million. Cash flow provided by operating activities for the three months ended September 30, 2025 was $20.1 million. As of September 30, 2025, there were no borrowings drawn under the revolving senior-secured asset-based credit facility (ABL), and borrowing base availability under the ABL was $121.4 million, with $103.0 million of availability net of $18.4 million of letters of credit. See Note 8 - Debt to our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On December 3, 2024, Cross Country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The consummation of the Aya Merger is subject to the satisfaction of a number of closing conditions, including, without limitation, stockholder approval which was received at a special meeting held on February 28, 2025 and the successful completion of a review by the U.S. Federal Trade Commission (FTC) under the Hart-Scott-Rodino Antitrust Improvements Act of 1976 (HSR Act). On February 20, 2025, the Company and Aya Healthcare each received a request for additional information (Second Request) from the FTC in connection with the FTC's review of the transactions contemplated by the Merger Agreement. As of August 29, 2025, each of the Company and Aya Healthcare had certified to the FTC that it had substantially complied with the Second Request and, as a result of discussions with the FTC, the HSR waiting period was set to expire on November 17, 2025. In addition, the Aya Merger end date was extended from September 3, 2025 to December 3, 2025. However, the FTC is closed during the government shutdown and the expiry of the HSR waiting period extends day-for-day while the government shutdown continues. As a result, absent any further agreement from the FTC, the HSR waiting period is now set to expire after the end date contemplated by the Merger Agreement, which is currently December 3, 2025. Absent agreement between the Company and Aya, if the transaction has not closed by December 3, 2025, either party may terminate the Merger Agreement. The Company and Aya are currently discussing an extension of the end date beyond December 3, 2025, but there can be no assurance that an agreement with respect to an extension will be reached. If the Aya Merger is completed, Cross Country will become a private company and its common stock will no longer trade on Nasdaq. See Note 1 - Organization and Basis of Presentation to our condensed consolidated financial statements and see associated risk factors in Part II, Item 1A. Risk Factors in this Quarterly Report on Form 10-Q and in Part 1, Item 1A. Risk Factors in the 2024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78"/>
        </w:trPr>
        <w:tc>
          <w:tcPr>
            <w:tcW w:w="3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77"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and comprehensive (loss) income data expressed as a percentage of revenue. Our historical results of operations are not necessarily indicative of future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8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3"/>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8"/>
        </w:trPr>
        <w:tc>
          <w:tcPr>
            <w:tcW w:w="5720" w:type="dxa"/>
            <w:vAlign w:val="bottom"/>
          </w:tcPr>
          <w:p>
            <w:pPr>
              <w:spacing w:after="0"/>
              <w:rPr>
                <w:sz w:val="20"/>
                <w:szCs w:val="20"/>
                <w:color w:val="auto"/>
              </w:rPr>
            </w:pPr>
          </w:p>
        </w:tc>
        <w:tc>
          <w:tcPr>
            <w:tcW w:w="288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r>
      <w:tr>
        <w:trPr>
          <w:trHeight w:val="21"/>
        </w:trPr>
        <w:tc>
          <w:tcPr>
            <w:tcW w:w="5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September 30, 2025 and the Three Months Ended September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360" w:type="dxa"/>
            <w:vAlign w:val="bottom"/>
            <w:tcBorders>
              <w:bottom w:val="single" w:sz="8" w:color="auto"/>
            </w:tcBorders>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20.6% to $250.1 million for the three months ended September 30, 2025, as compared to $315.1 million for the three months ended September 30, 2024, primarily due to volume declines in the Nurse and Allied Staffing and Physician Staffing segments.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$51.8 million, or 20.7%, to $199.1 million for the three months ended September 30, 2025, as compared to $251.0 million for the three months ended September 30, 2024, as a result of revenue decreases. As a percentage of total revenue, direct operating expenses decreased to 79.6%, as compared to 79.7%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13.6% to $46.9 million for the three months ended September 30, 2025, as compared to $54.3 million for the three months ended September 30, 2024, primarily due to decreases in compensation and benefit expenses as a result of lower headcount as well as variable compensation. As a percentage of total revenue, selling, general and administrative expenses increased to 18.8% for the three months ended September 30, 2025, as compared to 17.2% for the three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(credit) expense</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 loss credit for the three months ended September 30, 2025 was $0.9 million, due to collection of aged receivables, as compared to credit loss expense of $1.5 million for the three months ended September 30, 2024. As a percentage of revenue, credit loss credit was 0.3% for the three months ended September 30, 2025 and credit loss expense was 0.5%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2025 was $4.1 million, as compared to $4.5 million for the three months ended September 30, 2024. As a percentage of revenue, depreciation and amortization expense was 1.6% for the three months ended September 30, 2025 and 1.4% for the three months ended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of $4.1 million for the three months ended September 30, 2025 related primarily to fees associated with the pending Aya Merger. See Note 1 - Organization and Basis of Presentation to our condensed consolidated financial statements. There were no such costs for the three months ended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Restructuring costs of $1.5 million and $1.0 million for the three months ended September 30, 2025 and 2024, respectively, were primarily comprised of employee termination costs. Costs for the three months ended September 30, 2024 also included software license costs. See Note 2 - Summary of Significant Accounting Policies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third quarter of 2025, the Company recorded $1.1 million in legal fees and settlement charges related to various cases and claims. There were no such charges during the third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Interest income of $0.9 million for the three months ended September 30, 2025 related to higher average cash on hand deposited in interest bearing accounts during the quarter. Interest income of $1.1 million for the three months ended September 30, 2024 related to higher average cash on hand with slightly higher available interest rates during the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Income tax benefit totaled $0.9 million for the three months ended September 30, 2025, as compared to income tax expense of $0.8 million for the three months ended September 30, 2024. Income tax benefit for the third quarter of 2025 and income tax expense for the third quarter of 2024 were primarily driven by federal and state taxes. See Note 14 - Income Taxes to our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Nine Months Ended September 30, 2025 and the Nine Months Ended September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360" w:type="dxa"/>
            <w:vAlign w:val="bottom"/>
            <w:tcBorders>
              <w:bottom w:val="single" w:sz="8" w:color="auto"/>
            </w:tcBorders>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from services decreased 20.9% to $817.5 million for the nine months ended September 30, 2025, as compared to $1.0 billion for the nine months ended September 30, 2024, primarily due to volume declines in Nurse and Allied Staffing. See further discussion in Segment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Direct operating expenses decreased $169.9 million, or 20.7%, to $651.9 million for the nine months ended September 30, 2025, as compared to $821.8 million for the nine months ended September 30, 2024, as a result of revenue decreases. As a percentage of total revenue, direct operating expenses increased to 79.7%, as compared to 79.5%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16.0% to $149.4 million for the nine months ended September 30, 2025, as compared to $177.8 million for the nine months ended September 30, 2024, primarily due to decreases in compensation and benefit expense as a result of lower headcount as well as variable compensation. As a percentage of total revenue, selling, general and administrative expenses increased to 18.3% for the nine months ended September 30, 2025, as compared to 17.2% for the nine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(credit) expense</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Credit loss credit for the nine months ended September 30, 2025 was $0.8 million, due to collection of aged receivables, as compared to credit loss expense of $21.7 million for the nine months ended September 30, 2024, which was related to a customer bankruptcy. As a percentage of revenue, credit loss credit was 0.1% for the nine months ended September 30, 2025 and credit loss expense was 2.1%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2025 was $13.0 million, as compared to $13.9 million for the nine months ended September 30, 2024. As a percentage of revenue, depreciation and amortization expense was 1.6% for the nine months ended September 30, 2025 and 1.3% for the nine months ended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of $12.2 million for the nine months ended September 30, 2025 related primarily to fees associated with the pending Aya Merger. See Note 1 - Organization and Basis of Presentation to our condensed consolidated financial statements. There were no such costs for the nine months ended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Restructuring costs of $2.4 million for the nine months ended September 30, 2025 were primarily comprised of employee termination costs. Restructuring costs of $4.1 million for the nine months ended September 30, 2024 were primarily comprised of employee termination costs, ongoing lease exit costs, and software license costs. See Note 2 - Summary of Significant Accounting Policies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$2.2 million in legal fees and settlement charges related to various cases and claims. During the nine months ended September 30, 2024, the Company recorded legal and other losses of $7.6 million, which included the settlement of a class action lawsuit, as well as costs related to an unrecoverable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Non-cash impairment charges totaled $0.7 million for the nine months ended September 30, 2024 related to real estate restructuring activities. There were no such charges for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income of $2.2 million for the nine months ended September 30, 2025 related to higher average cash on hand deposited in interest bearing accounts during the period. Interest income of $1.5 million for the nine months ended September 30, 2024 related to higher average cash on hand with slightly higher available interest rates during the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other income, net included a $0.9 million decrease of the remaining earnout liability related to the Mint acquisition. There were no such adjustments for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totaled $0.3 million for the nine months ended September 30, 2025, as compared to $1.7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income tax benefit for the first nine months of 2025 and 2024 was primarily driven by federal and state taxes. See Note 14 -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to our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income from operations for the periods indicated are as follows: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1"/>
                <w:szCs w:val="21"/>
                <w:color w:val="auto"/>
              </w:rPr>
            </w:pPr>
          </w:p>
        </w:tc>
        <w:tc>
          <w:tcPr>
            <w:tcW w:w="286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201,950</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264,853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668,546</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888,490</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145,574</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250,052</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817,532</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1,034,064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52,254</w:t>
            </w:r>
          </w:p>
        </w:tc>
      </w:tr>
      <w:tr>
        <w:trPr>
          <w:trHeight w:val="230"/>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September 30, 2025 and Three Months Ended September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Revenue decreased $62.9 million, or 23.8%, to $202.0 million for the three months ended September 30, 2025, as compared to $264.9 million for the three months ended September 30, 2024, driven primarily by a 16.8% decline in professionals on assignment and, to a lesser extent, a shift in mix. However, within the segment, Homecare Staffing experienced year-over-year revenue growth of 29.1% and sequential revenue growth of 2.3% for the three months ended September 30, 2025.</w:t>
      </w:r>
    </w:p>
    <w:p>
      <w:pPr>
        <w:spacing w:after="0" w:line="1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Contribution income decreased $5.1 million, or 26.1%, to $14.2 million for the three months ended September 30, 2025, as compared to $19.3 million for the three months ended September 30, 2024. As a percentage of segment revenue, contribution income margin decreased to 7.0% for the three months ended September 30, 2025, as compared to 7.3% for the three months ended September 30, 2024.</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September 30, 2025 decreased 16.8% from the three months ended September 30, 2024, primarily due to headcount decline in travel nurse and allied, per diem, and education. The average revenue per FTE per day decreased 8.0%.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Revenue decreased $2.2 million, or 4.3%, to $48.1 million for the three months ended September 30, 2025, as compared to $50.3 million for the three months ended September 30, 2024, primarily due to a decrease in billable days, partially offset by higher rates and favorable specialty mix.</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Contribution income decreased $0.3 million, or 6.7%, to $4.3 million for the three months ended September 30, 2025, as compared to $4.6 million for the three months ended September 30, 2024. As a percentage of segment revenue, contribution income was 9.0% for the three months ended September 30, 2025, as compared to 9.2%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8" w:name="page39"/>
    <w:bookmarkEnd w:id="38"/>
    <w:p>
      <w:pPr>
        <w:ind w:right="38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September 30, 2025 decreased 15.3% to 20,695, as compared to 24,424 in the prior year. Revenue per day filled was $2,324, as compared with $2,058 in the prior year, due to price increases and favorable specialty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Corporate overhead decreased to $13.7 million for the three months ended September 30, 2025, from $15.5 million for the three months ended September 30, 2024, primarily due to decreases in compensation and benefit expense, and a decrease in professional fees. As a percentage of consolidated revenue, corporate overhead was 5.5% for the three months ended September 30, 2025 and 4.9% for the three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Nine Months Ended September 30, 2025 and Nine Months Ended September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decreased $220.0 million, or 24.8%, to $668.5 million for the nine months ended September 30, 2025, as compared to $888.5 million for the nine months ended September 30, 2024, driven primarily by a 17.4% decline in professionals on assignment and, to a lesser extent, a shift in mix. However, within the segment, Homecare Staffing experienced year-over-year revenue growth of 30.0% for the nine months ended September 30, 2025.</w:t>
      </w:r>
    </w:p>
    <w:p>
      <w:pPr>
        <w:spacing w:after="0" w:line="16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Contribution income decreased $6.9 million, or 13.2%, to $45.4 million for the nine months ended September 30, 2025, as compared to $52.3 million for the nine months ended September 30, 2024. As a percentage of segment revenue, contribution income margin increased to 6.8% for the nine months ended September 30, 2025, as compared to 5.9% for the nine months ended September 30, 2024.</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nine months ended September 30, 2025 decreased 17.4% from the nine months ended September 30, 2024, primarily due to headcount decline in travel nurse and allied, per diem, and education. The average revenue per FTE per day decreased 8.4%.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Revenue increased $3.4 million, or 2.3%, to $149.0 million for the nine months ended September 30, 2025, as compared to $145.6 million for the nine months ended September 30, 2024, primarily due to the impact from higher rates and favorable specialty mix.</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Contribution income increased $1.1 million, or 9.5%, to $12.9 million for the nine months ended September 30, 2025, as compared to $11.8 million for the nine months ended September 30, 2024. As a percentage of segment revenue, contribution income was 8.7% for the nine months ended September 30, 2025, as compared to 8.1% for the nine months ended September 30, 2024.</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days filled for the nine months ended September 30, 2025 decreased 9.4% to 65,615, as compared to 72,461 in the prior year. Revenue per day filled was $2,271, as compared with $2,009 in the prior year, due to price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overhead decreased to $41.3 million for the nine months ended September 30, 2025, from $51.3 million for the nine months ended September 30, 2024, primarily due to decreases in compensation and benefit expense, as well as professional fees and software and hardware expense. As a percentage of consolidated revenue, corporate overhead was 5.1% for the nine months ended September 30, 2025 and 5.0%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2025, we reported $99.1 million in cash and cash equivalents, with no borrowings drawn under the ABL. Working capital decreased by $5.0 million to $209.6 million as of September 30, 2025, as compared to $214.6 million as of December 31, 2024, primarily due to a decrease in net receivables and the timing of disbursements. As of September 30, 2025, days’ sales outstanding, net of amounts owed to subcontractors, was 59 days, down 2 days year-over-year and up 1 day sequentially. As of September 30, 2025, we did not have any off-balance sheet arrangements.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debt discussion which follows.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was set at $100.0 million (the Repurchase Program). In the third quarter of 2023, we entered into a Rule 10b5-1 Repurchase Plan to allow for share repurchases during the Company’s blackout periods, beginning on January 2, 2024 and effective through November 7, 2024. During the nine months ended September 30, 2024, we repurchased and retired a total of 2,107,035 shares of common stock for $33.2 million, at an average price of $15.75 per share. During the nine months ended September 30, 2025, we did not repurchase any shares of our common stock, but did pay $0.3 million in excise tax related to previous share repurchases. As of September 30, 2025, we had $40.5 million remaining for share repurchase under the Repurchase Program, subject to certain conditions in the Loan Agreement (as defined below).</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$65.9 million to $30.0 million for the nine months ended September 30, 2025, as compared to $95.9 million for the nine months ended September 30, 2024.</w:t>
      </w:r>
    </w:p>
    <w:p>
      <w:pPr>
        <w:spacing w:after="0" w:line="18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$6.0 million for the nine months ended September 30, 2025, as compared to $6.2 million for the nine months ended September 30, 2024, for capital expenditures in both years.</w:t>
      </w:r>
    </w:p>
    <w:p>
      <w:pPr>
        <w:ind w:right="10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2025 was $6.5 million, as compared to $42.8 million during the nine months ended September 30, 2024. During the nine months ended September 30, 2025, we used cash to pay $1.8 million for income taxes on share-based compensation, $0.3 million for excise tax related to previous share repurchases, and $4.4 million for contingent consideration. During the nine months ended September 30, 2024, we used cash to pay $3.0 million for income taxes on share-based compensation, $33.2 million for share repurchases, and $6.6 million for contingent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25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On July 29, 2024, we amended the Loan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(Seventh Amendment), which allows for all share repurchases paid in cash prior to June 30, 2024 and thereafter to be excluded as restricted payments in the fixed charge coverage ratio calculation if there is no revolving ABL balance.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September 30, 2025,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$121.4 million as of September 30, 2025, with no borrowings drawn and $103.0 million of availability net of $18.4 million of letters of credit. For the three months ended September 30, 2025, the excess availability did not fall below the stated threshold and, as a result, there was no covenant compliance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1" w:right="599" w:bottom="1440" w:gutter="0" w:footer="0" w:header="0"/>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Loan Agreement) plus an applicable margin.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1.0% change in interest rates would have resulted in interest expense fluctuating an immaterial amount for the nine months ended September 30, 2025 and 2024, respectively.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2024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quarterly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careful consideration should be given to the factors discussed in Item1 A, “Risk Factors” in our 2024 Form 10-K, all of which could materially affect our business, financial condition, or future results. The risk described herein and therein are not the only risks facing us. Additional risks and uncertainties not currently known to us, or that we currently deem to be immaterial, also may adversely affect our business, financial condition, and/or operating results. The following risk factor is provided to update our risk factors previously disclosed in our periodic reports filed with the SEC, including our 2024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closing of the Aya Merger is delayed or does not occur, the Company’s business and stock price may be adversely affected.</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consummation of the Aya Merger is subject to the satisfaction of a number of closing conditions, including, without limitation, the successful completion of a review by the U.S. Federal Trade Commission (FTC) under the Hart-Scott-Rodino Antitrust Improvements Act of 1976 (HSR Act). The Company and Aya Healthcare each received a request for additional information (often referred to as a “second request”) from the FTC in connection with the FTC’s review of the transactions contemplated by the Merger Agreement. As a result of the continuing government shutdown, the FTC has closed. The expiry of the waiting period agreed with the FTC, which was previously set to expire on November 17, 2025, extends day-for-day while the government shutdown continues. As a result, absent any further agreement from the FTC, the waiting period is now set to expire after the end date contemplated by the Merger Agreement, which is currently December 3, 2025. Absent agreement between the Company and Aya Healthcare, if the transaction has not closed by December 3, 2025, either party may terminate the Merger Agreement. The Company and Aya Healthcare are currently discussing an extension of the end date beyond December 3, 2025, but there can be no assurance that an agreement with respect to an extension will be reached.</w:t>
      </w:r>
    </w:p>
    <w:p>
      <w:pPr>
        <w:spacing w:after="0" w:line="2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not able to predict when or if the Aya Merger will be consummated. Any extended delay in the consummation of the Aya Merger, uncertainty of the closing, or if the Aya Merger ultimately is not consummated, could adversely affect the Company’s business. Specifically, if the Aya Merger is not completed, the Company’s stockholders will not only continue to be subject to the same risks and opportunities to which they are currently subject, including risks related to the highly competitive industry in which the Company operates and risks related to adverse economic conditions, but also will be subject to a number of additional risks. These risks include, without limitation, the Company’s incurrence of substantial costs in connection with the Aya Merger and the other transactions contemplated by the Merger Agreement that may not be recovered, the substantial restrictions imposed by the Merger Agreement on the operation of the Company’s business during the period while the consummation of the Aya Merger is pending, which may make it difficult for the Company to achieve its business goals if the Aya Merger is not completed, and the potential negative impact on the Company’s ability to attract, hire, and retain key employees. In addition, if the deal fails to close, management change in control agreements will not trigger and key management may leave voluntarily and clients may follow suit. The Aya Merger could also result in the Company incurring unexpected costs, charges, or expenses, and/or subject it to potential litigation relating to the Aya Merger that could be instituted against the Company and/or its respective directors and officers. If any of the foregoing risks occur, our business and results of operations could be materially and adversely impacted. Even if we are able to successfully and timely consummate the Aya Merger, given the ongoing uncertainty regarding the closing, there is no assurance that we will realize the expected benefits of such transaction.</w:t>
      </w:r>
    </w:p>
    <w:p>
      <w:pPr>
        <w:spacing w:after="0" w:line="2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if the Aya Merger is not consummated, the Company’s stock price may decline to the extent that the current market price reflects a market assumption that the Aya Merger will be completed. Accordingly, if the Aya Merger is not completed, there can be no assurance as to the effect of these risks and opportunities on the future value of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with the SEC on September 30, 2025 (September 30th Form 8-K), the Company’s 2025 Annual Meeting of Stockholders (Annual Meeting) will be held on December 9, 2025, which is more than 30 days after the anniversary of the Company’s 2024 Annual Meeting of Stockholders. The Annual Meeting does not relate to the pending merger transaction with Aya Healthcare, Inc. (Aya Merger) and will only take place in the event that the Aya Merger is not completed prior to the Annual Meeting. Pursuant to Rule 14a-5(f) under the Securities Exchange Act of 1934, as amended (Exchange Act), the Company provided notice of the revised deadlines for qualified stockholder proposals and stockholder nominations by means of its September 30th Form 8-K.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 John</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 Martins, President, Chief Executive Officer, Director (Principal Executive Officer)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William J. Burns, Executive Vice President, Chief Financial Officer (Principal Financial Officer)</w:t>
            </w:r>
          </w:p>
        </w:tc>
        <w:tc>
          <w:tcPr>
            <w:tcW w:w="220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John A.</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Martins, President, Chief Executive Officer, Director (Principal Executive Officer)</w:t>
            </w: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J. Burns, Executive Vice President, Chief Financial Officer (Principal Financial Officer)</w:t>
            </w:r>
          </w:p>
        </w:tc>
        <w:tc>
          <w:tcPr>
            <w:tcW w:w="60" w:type="dxa"/>
            <w:vAlign w:val="bottom"/>
          </w:tcPr>
          <w:p>
            <w:pPr>
              <w:spacing w:after="0"/>
              <w:rPr>
                <w:sz w:val="13"/>
                <w:szCs w:val="13"/>
                <w:color w:val="auto"/>
              </w:rPr>
            </w:pPr>
          </w:p>
        </w:tc>
      </w:tr>
      <w:tr>
        <w:trPr>
          <w:trHeight w:val="53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00" w:type="dxa"/>
            <w:vAlign w:val="bottom"/>
            <w:gridSpan w:val="6"/>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5" w:name="page46"/>
    <w:bookmarkEnd w:id="4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320" w:top="887" w:right="5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12, 2025</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12, 2025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2025, (the "Periodic Report"), I, John A. Martins, President and Chief Executive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November 12, 2025</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2025,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12, 2025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Roman"/>
      <w:start w:val="6"/>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2025-11-12T16:19:28Z</dcterms:created>
  <dcterms:modified xsi:type="dcterms:W3CDTF">2025-11-12T16:19:28Z</dcterms:modified>
</cp:coreProperties>
</file>