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3900" w:right="2520" w:hanging="1332"/>
        <w:spacing w:after="0" w:line="351" w:lineRule="auto"/>
        <w:tabs>
          <w:tab w:leader="none" w:pos="275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 Transition Report Pursuant to Section 13 or 15(d) of the Securities Exchange Act of 1934</w:t>
      </w:r>
    </w:p>
    <w:p>
      <w:pPr>
        <w:spacing w:after="0" w:line="82"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 xml:space="preserve">For the Transition Period From </w:t>
      </w:r>
      <w:r>
        <w:rPr>
          <w:rFonts w:ascii="Arial" w:cs="Arial" w:eastAsia="Arial" w:hAnsi="Arial"/>
          <w:sz w:val="16"/>
          <w:szCs w:val="16"/>
          <w:color w:val="auto"/>
        </w:rPr>
        <w:t>_________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12065</wp:posOffset>
            </wp:positionV>
            <wp:extent cx="2135505" cy="857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976" w:right="279" w:bottom="1440" w:gutter="0" w:footer="0" w:header="0"/>
        </w:sectPr>
      </w:pPr>
    </w:p>
    <w:p>
      <w:pPr>
        <w:spacing w:after="0" w:line="156"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0-33169</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13-4066229</w:t>
      </w:r>
    </w:p>
    <w:p>
      <w:pPr>
        <w:spacing w:after="0" w:line="99" w:lineRule="exact"/>
        <w:rPr>
          <w:sz w:val="24"/>
          <w:szCs w:val="24"/>
          <w:color w:val="auto"/>
        </w:rPr>
      </w:pPr>
    </w:p>
    <w:p>
      <w:pPr>
        <w:sectPr>
          <w:pgSz w:w="11900" w:h="16838" w:orient="portrait"/>
          <w:cols w:equalWidth="0" w:num="3">
            <w:col w:w="4740" w:space="720"/>
            <w:col w:w="2980" w:space="720"/>
            <w:col w:w="2220"/>
          </w:cols>
          <w:pgMar w:left="240" w:top="976" w:right="279" w:bottom="1440" w:gutter="0" w:footer="0" w:header="0"/>
          <w:type w:val="continuous"/>
        </w:sectPr>
      </w:pPr>
    </w:p>
    <w:p>
      <w:pPr>
        <w:jc w:val="center"/>
        <w:ind w:right="820"/>
        <w:spacing w:after="0"/>
        <w:rPr>
          <w:sz w:val="20"/>
          <w:szCs w:val="20"/>
          <w:color w:val="auto"/>
        </w:rPr>
      </w:pPr>
      <w:r>
        <w:rPr>
          <w:rFonts w:ascii="Arial" w:cs="Arial" w:eastAsia="Arial" w:hAnsi="Arial"/>
          <w:sz w:val="16"/>
          <w:szCs w:val="16"/>
          <w:i w:val="1"/>
          <w:iCs w:val="1"/>
          <w:color w:val="auto"/>
        </w:rPr>
        <w:t>(State or other jurisdiction of</w:t>
      </w:r>
    </w:p>
    <w:p>
      <w:pPr>
        <w:spacing w:after="0" w:line="22" w:lineRule="exact"/>
        <w:rPr>
          <w:sz w:val="24"/>
          <w:szCs w:val="24"/>
          <w:color w:val="auto"/>
        </w:rPr>
      </w:pPr>
    </w:p>
    <w:p>
      <w:pPr>
        <w:jc w:val="center"/>
        <w:ind w:right="82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Commission</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5"/>
          <w:szCs w:val="15"/>
          <w:i w:val="1"/>
          <w:i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6"/>
          <w:szCs w:val="16"/>
          <w:i w:val="1"/>
          <w:iCs w:val="1"/>
          <w:color w:val="auto"/>
        </w:rPr>
        <w:t>(I.R.S. Employer</w:t>
      </w:r>
    </w:p>
    <w:p>
      <w:pPr>
        <w:spacing w:after="0" w:line="22" w:lineRule="exact"/>
        <w:rPr>
          <w:sz w:val="24"/>
          <w:szCs w:val="24"/>
          <w:color w:val="auto"/>
        </w:rPr>
      </w:pPr>
    </w:p>
    <w:p>
      <w:pPr>
        <w:jc w:val="center"/>
        <w:ind w:right="1100"/>
        <w:spacing w:after="0"/>
        <w:rPr>
          <w:sz w:val="20"/>
          <w:szCs w:val="20"/>
          <w:color w:val="auto"/>
        </w:rPr>
      </w:pPr>
      <w:r>
        <w:rPr>
          <w:rFonts w:ascii="Arial" w:cs="Arial" w:eastAsia="Arial" w:hAnsi="Arial"/>
          <w:sz w:val="15"/>
          <w:szCs w:val="15"/>
          <w:i w:val="1"/>
          <w:iCs w:val="1"/>
          <w:color w:val="auto"/>
        </w:rPr>
        <w:t>Identification Number)</w:t>
      </w:r>
    </w:p>
    <w:p>
      <w:pPr>
        <w:spacing w:after="0" w:line="157" w:lineRule="exact"/>
        <w:rPr>
          <w:sz w:val="24"/>
          <w:szCs w:val="24"/>
          <w:color w:val="auto"/>
        </w:rPr>
      </w:pPr>
    </w:p>
    <w:p>
      <w:pPr>
        <w:sectPr>
          <w:pgSz w:w="11900" w:h="16838" w:orient="portrait"/>
          <w:cols w:equalWidth="0" w:num="3">
            <w:col w:w="4600" w:space="720"/>
            <w:col w:w="2760" w:space="720"/>
            <w:col w:w="2580"/>
          </w:cols>
          <w:pgMar w:left="240" w:top="976"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5201 Congress Avenue, Suite 100B</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80"/>
          </w:cols>
          <w:pgMar w:left="240" w:top="976" w:right="279" w:bottom="1440" w:gutter="0" w:footer="0" w:header="0"/>
          <w:type w:val="continuous"/>
        </w:sectPr>
      </w:pPr>
    </w:p>
    <w:p>
      <w:pPr>
        <w:spacing w:after="0" w:line="284"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160" w:space="720"/>
            <w:col w:w="2040" w:space="720"/>
            <w:col w:w="3740"/>
          </w:cols>
          <w:pgMar w:left="240" w:top="976" w:right="27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165" w:lineRule="exact"/>
        <w:rPr>
          <w:sz w:val="24"/>
          <w:szCs w:val="24"/>
          <w:color w:val="auto"/>
        </w:rPr>
      </w:pPr>
    </w:p>
    <w:p>
      <w:pPr>
        <w:sectPr>
          <w:pgSz w:w="11900" w:h="16838" w:orient="portrait"/>
          <w:cols w:equalWidth="0" w:num="3">
            <w:col w:w="4480" w:space="720"/>
            <w:col w:w="2280" w:space="720"/>
            <w:col w:w="3180"/>
          </w:cols>
          <w:pgMar w:left="240" w:top="976" w:right="279" w:bottom="1440" w:gutter="0" w:footer="0" w:header="0"/>
          <w:type w:val="continuous"/>
        </w:sect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8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74"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o</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period for complying with any new or revised financial accounting standards provided pursuant to Section 13(a) of the Exchange Act. o</w:t>
      </w:r>
    </w:p>
    <w:p>
      <w:pPr>
        <w:spacing w:after="0" w:line="69" w:lineRule="exact"/>
        <w:rPr>
          <w:sz w:val="24"/>
          <w:szCs w:val="24"/>
          <w:color w:val="auto"/>
        </w:rPr>
      </w:pPr>
    </w:p>
    <w:p>
      <w:pPr>
        <w:ind w:right="3160"/>
        <w:spacing w:after="0" w:line="267" w:lineRule="exact"/>
        <w:rPr>
          <w:sz w:val="20"/>
          <w:szCs w:val="20"/>
          <w:color w:val="auto"/>
        </w:rPr>
      </w:pPr>
      <w:r>
        <w:rPr>
          <w:rFonts w:ascii="Arial" w:cs="Arial" w:eastAsia="Arial" w:hAnsi="Arial"/>
          <w:sz w:val="14"/>
          <w:szCs w:val="14"/>
          <w:color w:val="auto"/>
        </w:rPr>
        <w:t xml:space="preserve">Indicate by checkmark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outstanding 36,877,022 shares of Common Stock, par value $0.0001 per share, as of October 31, 2019.</w:t>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2018,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10"/>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7"/>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89"/>
              </w:rPr>
              <w:t>September 30, 2019</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3"/>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10"/>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Income (Unaudited)</w:t>
              </w:r>
            </w:hyperlink>
          </w:p>
        </w:tc>
        <w:tc>
          <w:tcPr>
            <w:tcW w:w="2080" w:type="dxa"/>
            <w:vAlign w:val="bottom"/>
            <w:gridSpan w:val="2"/>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Stockholders' Equity (Unaudited)</w:t>
              </w:r>
            </w:hyperlink>
          </w:p>
        </w:tc>
        <w:tc>
          <w:tcPr>
            <w:tcW w:w="72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(Unaudited)</w:t>
              </w:r>
            </w:hyperlink>
          </w:p>
        </w:tc>
        <w:tc>
          <w:tcPr>
            <w:tcW w:w="2800" w:type="dxa"/>
            <w:vAlign w:val="bottom"/>
            <w:gridSpan w:val="3"/>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806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806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806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0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 – OTHER INFORMATION</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300" w:type="dxa"/>
            <w:vAlign w:val="bottom"/>
            <w:gridSpan w:val="11"/>
          </w:tcPr>
          <w:p>
            <w:pPr>
              <w:spacing w:after="0"/>
              <w:rPr>
                <w:sz w:val="24"/>
                <w:szCs w:val="24"/>
                <w:color w:val="auto"/>
              </w:rPr>
            </w:pPr>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4"/>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sz w:val="20"/>
                <w:szCs w:val="20"/>
                <w:color w:val="auto"/>
              </w:rPr>
            </w:pPr>
            <w:r>
              <w:rPr>
                <w:rFonts w:ascii="Arial" w:cs="Arial" w:eastAsia="Arial" w:hAnsi="Arial"/>
                <w:sz w:val="18"/>
                <w:szCs w:val="18"/>
                <w:color w:val="0000EE"/>
              </w:rPr>
              <w:t>Item 6.</w:t>
            </w:r>
          </w:p>
        </w:tc>
        <w:tc>
          <w:tcPr>
            <w:tcW w:w="300" w:type="dxa"/>
            <w:vAlign w:val="bottom"/>
            <w:gridSpan w:val="2"/>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gridSpan w:val="3"/>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Signatures</w:t>
              </w:r>
            </w:hyperlink>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16,019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$3,375 in 2019 and $3,705 in 2018</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170,339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166,128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4,186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189,688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194,905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$34,617 in 2019 and $33,476 in 2018</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17,796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Trade names, indefinite-lived</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20,402</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deferred tax assets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23,750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393,991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427,003</w:t>
            </w:r>
          </w:p>
        </w:tc>
      </w:tr>
      <w:tr>
        <w:trPr>
          <w:trHeight w:val="230"/>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50,291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43,744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Accrued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33,332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5,235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Operating lease liabilities - current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3,075</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85,386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77,944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Operating lease liabilities -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deferred tax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accrued claims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29,299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8,748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16,081</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208,805</w:t>
            </w: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303,048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(84,062)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162,893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217,528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Noncontrolling interest in subsidiary</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163,647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218,198</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427,003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615,577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Direct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149,155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456,573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44,407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44,086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136,387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135,004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8,764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Restructuring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Legal settlement charges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209,081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198,072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624,793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604,342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Loss on derivative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31,840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3,717</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Consolidated 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886</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(loss) income attributable to common shareholders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Net (loss) income per share attributable to common shareholders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Net (loss) income per share attributable to common shareholders - 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35,865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35,594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35,797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35,682</w:t>
            </w:r>
          </w:p>
        </w:tc>
      </w:tr>
      <w:tr>
        <w:trPr>
          <w:trHeight w:val="262"/>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Diluted</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3"/>
                <w:szCs w:val="23"/>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w:t>
            </w:r>
          </w:p>
        </w:tc>
      </w:tr>
      <w:tr>
        <w:trPr>
          <w:trHeight w:val="29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interest rate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Reclassification adjustment to statement of operations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Taxes on other comprehensive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Income tax effect related to 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w w:val="96"/>
              </w:rPr>
              <w:t>Income tax effect related to unrealized (loss) gain on interest rate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Income tax expense related to reclassification adjustment to statement of</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Valuation allowance adjustment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5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3,759</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2,873</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line="249" w:lineRule="auto"/>
        <w:rPr>
          <w:sz w:val="20"/>
          <w:szCs w:val="20"/>
          <w:color w:val="auto"/>
        </w:rPr>
      </w:pPr>
      <w:r>
        <w:rPr>
          <w:rFonts w:ascii="Arial" w:cs="Arial" w:eastAsia="Arial" w:hAnsi="Arial"/>
          <w:sz w:val="20"/>
          <w:szCs w:val="20"/>
          <w:b w:val="1"/>
          <w:bCs w:val="1"/>
          <w:color w:val="auto"/>
        </w:rPr>
        <w:t>CROSS COUNTRY HEALTHCARE, INC. CONDENSED CONSOLIDATED STATEMENTS OF STOCKHOLDERS' EQUITY Three Months Ended September 30, 2019 and 2018 (Unaudited, amounts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ind w:right="243"/>
              <w:spacing w:after="0" w:line="159"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59"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59"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4"/>
                <w:szCs w:val="4"/>
                <w:color w:val="auto"/>
              </w:rPr>
            </w:pPr>
          </w:p>
        </w:tc>
        <w:tc>
          <w:tcPr>
            <w:tcW w:w="1240" w:type="dxa"/>
            <w:vAlign w:val="bottom"/>
            <w:vMerge w:val="restart"/>
          </w:tcPr>
          <w:p>
            <w:pPr>
              <w:jc w:val="center"/>
              <w:ind w:right="83"/>
              <w:spacing w:after="0" w:line="159"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4"/>
                <w:szCs w:val="4"/>
                <w:color w:val="auto"/>
              </w:rPr>
            </w:pPr>
          </w:p>
        </w:tc>
        <w:tc>
          <w:tcPr>
            <w:tcW w:w="1100" w:type="dxa"/>
            <w:vAlign w:val="bottom"/>
            <w:vMerge w:val="restart"/>
          </w:tcPr>
          <w:p>
            <w:pPr>
              <w:jc w:val="right"/>
              <w:ind w:right="103"/>
              <w:spacing w:after="0" w:line="159"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84"/>
        </w:trPr>
        <w:tc>
          <w:tcPr>
            <w:tcW w:w="2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Balances at June 30, 2019</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35,860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303,795</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(2,335)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(137,503)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727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164,688</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Vesting of restricted stock and</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performance stock awards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5</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982</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982</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shd w:val="clear" w:color="auto" w:fill="CCEEFF"/>
              </w:rPr>
              <w:t>Foreign currency translation adjustment,</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net of taxes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taxes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1,120</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1,120</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Distribution to noncontrolling</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shareholder</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(404)</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66"/>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(3,128)</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431</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(2,697)</w:t>
            </w:r>
          </w:p>
        </w:tc>
        <w:tc>
          <w:tcPr>
            <w:tcW w:w="0" w:type="dxa"/>
            <w:vAlign w:val="bottom"/>
          </w:tcPr>
          <w:p>
            <w:pPr>
              <w:spacing w:after="0"/>
              <w:rPr>
                <w:sz w:val="1"/>
                <w:szCs w:val="1"/>
                <w:color w:val="auto"/>
              </w:rPr>
            </w:pPr>
          </w:p>
        </w:tc>
      </w:tr>
      <w:tr>
        <w:trPr>
          <w:trHeight w:val="26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Balances at September 30, 2019</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35,867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304,764</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(140,631)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163,647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ind w:right="243"/>
              <w:spacing w:after="0" w:line="159"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59"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59"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4"/>
                <w:szCs w:val="4"/>
                <w:color w:val="auto"/>
              </w:rPr>
            </w:pPr>
          </w:p>
        </w:tc>
        <w:tc>
          <w:tcPr>
            <w:tcW w:w="1240" w:type="dxa"/>
            <w:vAlign w:val="bottom"/>
            <w:vMerge w:val="restart"/>
          </w:tcPr>
          <w:p>
            <w:pPr>
              <w:jc w:val="center"/>
              <w:ind w:right="83"/>
              <w:spacing w:after="0" w:line="159"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4"/>
                <w:szCs w:val="4"/>
                <w:color w:val="auto"/>
              </w:rPr>
            </w:pPr>
          </w:p>
        </w:tc>
        <w:tc>
          <w:tcPr>
            <w:tcW w:w="1100" w:type="dxa"/>
            <w:vAlign w:val="bottom"/>
            <w:vMerge w:val="restart"/>
          </w:tcPr>
          <w:p>
            <w:pPr>
              <w:jc w:val="right"/>
              <w:ind w:right="103"/>
              <w:spacing w:after="0" w:line="159"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84"/>
        </w:trPr>
        <w:tc>
          <w:tcPr>
            <w:tcW w:w="2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68"/>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Balances at June 30, 2018</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35,606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301,353</w:t>
            </w:r>
          </w:p>
        </w:tc>
        <w:tc>
          <w:tcPr>
            <w:tcW w:w="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(63,930)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604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236,871</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Vesting of restricted stock and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performance stock awards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981</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repurchase and retirement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(300)</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4"/>
              </w:rPr>
              <w:t>Foreign currency translation adjustment,</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net of taxes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197</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Distribution to noncontrolling</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shareholder</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(279)</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 income</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(441)</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323</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68"/>
        </w:trPr>
        <w:tc>
          <w:tcPr>
            <w:tcW w:w="2740" w:type="dxa"/>
            <w:vAlign w:val="bottom"/>
          </w:tcPr>
          <w:p>
            <w:pPr>
              <w:ind w:left="40"/>
              <w:spacing w:after="0"/>
              <w:rPr>
                <w:sz w:val="20"/>
                <w:szCs w:val="20"/>
                <w:color w:val="auto"/>
              </w:rPr>
            </w:pPr>
            <w:r>
              <w:rPr>
                <w:rFonts w:ascii="Arial" w:cs="Arial" w:eastAsia="Arial" w:hAnsi="Arial"/>
                <w:sz w:val="15"/>
                <w:szCs w:val="15"/>
                <w:color w:val="auto"/>
              </w:rPr>
              <w:t>Balances at September 30, 2018</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35,581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302,007</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(64,371)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237,255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line="249" w:lineRule="auto"/>
        <w:rPr>
          <w:sz w:val="20"/>
          <w:szCs w:val="20"/>
          <w:color w:val="auto"/>
        </w:rPr>
      </w:pPr>
      <w:r>
        <w:rPr>
          <w:rFonts w:ascii="Arial" w:cs="Arial" w:eastAsia="Arial" w:hAnsi="Arial"/>
          <w:sz w:val="20"/>
          <w:szCs w:val="20"/>
          <w:b w:val="1"/>
          <w:bCs w:val="1"/>
          <w:color w:val="auto"/>
        </w:rPr>
        <w:t>CROSS COUNTRY HEALTHCARE, INC. CONDENSED CONSOLIDATED STATEMENTS OF STOCKHOLDERS' EQUITY Nine Months Ended September 30, 2019 and 2018 (Unaudited, amounts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ind w:right="243"/>
              <w:spacing w:after="0" w:line="159"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59"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59"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4"/>
                <w:szCs w:val="4"/>
                <w:color w:val="auto"/>
              </w:rPr>
            </w:pPr>
          </w:p>
        </w:tc>
        <w:tc>
          <w:tcPr>
            <w:tcW w:w="1240" w:type="dxa"/>
            <w:vAlign w:val="bottom"/>
            <w:vMerge w:val="restart"/>
          </w:tcPr>
          <w:p>
            <w:pPr>
              <w:jc w:val="center"/>
              <w:ind w:right="83"/>
              <w:spacing w:after="0" w:line="159"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4"/>
                <w:szCs w:val="4"/>
                <w:color w:val="auto"/>
              </w:rPr>
            </w:pPr>
          </w:p>
        </w:tc>
        <w:tc>
          <w:tcPr>
            <w:tcW w:w="1100" w:type="dxa"/>
            <w:vAlign w:val="bottom"/>
            <w:vMerge w:val="restart"/>
          </w:tcPr>
          <w:p>
            <w:pPr>
              <w:jc w:val="right"/>
              <w:ind w:right="103"/>
              <w:spacing w:after="0" w:line="159"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84"/>
        </w:trPr>
        <w:tc>
          <w:tcPr>
            <w:tcW w:w="2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68"/>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Balances at December 31, 2018</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35,626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303,048</w:t>
            </w:r>
          </w:p>
        </w:tc>
        <w:tc>
          <w:tcPr>
            <w:tcW w:w="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(84,062)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670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218,198</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Vesting of restricted stock and</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performance stock awards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231</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(801)</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2,517</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2,517</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shd w:val="clear" w:color="auto" w:fill="CCEEFF"/>
              </w:rPr>
              <w:t>Foreign currency translation adjustment,</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net of taxes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43</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taxes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175</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Distribution to noncontrolling</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shareholder</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(1,142)</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0" w:type="dxa"/>
            <w:vAlign w:val="bottom"/>
          </w:tcPr>
          <w:p>
            <w:pPr>
              <w:spacing w:after="0"/>
              <w:rPr>
                <w:sz w:val="1"/>
                <w:szCs w:val="1"/>
                <w:color w:val="auto"/>
              </w:rPr>
            </w:pPr>
          </w:p>
        </w:tc>
      </w:tr>
      <w:tr>
        <w:trPr>
          <w:trHeight w:val="266"/>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(56,569)</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1,226</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(55,343)</w:t>
            </w:r>
          </w:p>
        </w:tc>
        <w:tc>
          <w:tcPr>
            <w:tcW w:w="0" w:type="dxa"/>
            <w:vAlign w:val="bottom"/>
          </w:tcPr>
          <w:p>
            <w:pPr>
              <w:spacing w:after="0"/>
              <w:rPr>
                <w:sz w:val="1"/>
                <w:szCs w:val="1"/>
                <w:color w:val="auto"/>
              </w:rPr>
            </w:pPr>
          </w:p>
        </w:tc>
      </w:tr>
      <w:tr>
        <w:trPr>
          <w:trHeight w:val="26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Balances at September 30, 2019</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35,867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304,764</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(140,631)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163,647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40" w:type="dxa"/>
            <w:vAlign w:val="bottom"/>
          </w:tcPr>
          <w:p>
            <w:pPr>
              <w:spacing w:after="0"/>
              <w:rPr>
                <w:sz w:val="15"/>
                <w:szCs w:val="15"/>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5"/>
                <w:szCs w:val="15"/>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74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jc w:val="right"/>
              <w:ind w:right="243"/>
              <w:spacing w:after="0" w:line="146"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46"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5"/>
                <w:szCs w:val="5"/>
                <w:color w:val="auto"/>
              </w:rPr>
            </w:pPr>
          </w:p>
        </w:tc>
        <w:tc>
          <w:tcPr>
            <w:tcW w:w="1240" w:type="dxa"/>
            <w:vAlign w:val="bottom"/>
            <w:vMerge w:val="restart"/>
          </w:tcPr>
          <w:p>
            <w:pPr>
              <w:jc w:val="center"/>
              <w:ind w:right="83"/>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103"/>
              <w:spacing w:after="0" w:line="146"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57"/>
        </w:trPr>
        <w:tc>
          <w:tcPr>
            <w:tcW w:w="2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68"/>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Balances at December 31, 2017</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35,838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305,362</w:t>
            </w:r>
          </w:p>
        </w:tc>
        <w:tc>
          <w:tcPr>
            <w:tcW w:w="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(67,111)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630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237,719</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19</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Vesting of restricted stock and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performance stock awards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156</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(719)</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2,364</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2,364</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repurchase and retirement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(5,000)</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4"/>
              </w:rPr>
              <w:t>Foreign currency translation adjustment,</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net of taxes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(143)</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276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Distribution to noncontrolling</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shareholder</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(868)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(868)</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2,740</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886</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3,626</w:t>
            </w:r>
          </w:p>
        </w:tc>
        <w:tc>
          <w:tcPr>
            <w:tcW w:w="0" w:type="dxa"/>
            <w:vAlign w:val="bottom"/>
          </w:tcPr>
          <w:p>
            <w:pPr>
              <w:spacing w:after="0"/>
              <w:rPr>
                <w:sz w:val="1"/>
                <w:szCs w:val="1"/>
                <w:color w:val="auto"/>
              </w:rPr>
            </w:pPr>
          </w:p>
        </w:tc>
      </w:tr>
      <w:tr>
        <w:trPr>
          <w:trHeight w:val="268"/>
        </w:trPr>
        <w:tc>
          <w:tcPr>
            <w:tcW w:w="2740" w:type="dxa"/>
            <w:vAlign w:val="bottom"/>
          </w:tcPr>
          <w:p>
            <w:pPr>
              <w:ind w:left="40"/>
              <w:spacing w:after="0"/>
              <w:rPr>
                <w:sz w:val="20"/>
                <w:szCs w:val="20"/>
                <w:color w:val="auto"/>
              </w:rPr>
            </w:pPr>
            <w:r>
              <w:rPr>
                <w:rFonts w:ascii="Arial" w:cs="Arial" w:eastAsia="Arial" w:hAnsi="Arial"/>
                <w:sz w:val="15"/>
                <w:szCs w:val="15"/>
                <w:color w:val="auto"/>
              </w:rPr>
              <w:t>Balances at September 30, 2018</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35,581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302,007</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(64,371)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237,255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(loss)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(55,343)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8,764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31,456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3,046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1,454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2,745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21,757</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Acquisition-related settlements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repurchase and retirement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9,458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28,065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2019.</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2018 included in the Company’s Annual Report on Form 10-K as filed with the Securities and Exchange Commission. The December 31, 2018 condensed consolidated balance sheet included herein was derived from the December 31, 2018 audited consolidated balance sheet included in the Company’s Annual Report on Form 10-K.</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on the condensed consolidated balance sheets and statements of cash flows, and as presented in Note 3 - Revenue Recognition and Note 13 - Segment Data.</w:t>
      </w:r>
    </w:p>
    <w:p>
      <w:pPr>
        <w:spacing w:after="0" w:line="166"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fair value of the interest rate swap agreement;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primarily include employee termination costs and lease-related exit costs.</w:t>
      </w:r>
    </w:p>
    <w:p>
      <w:pPr>
        <w:spacing w:after="0" w:line="18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 xml:space="preserve">Effective January 1, 2019, in conjunction with the adoption of the Financial Accounting Standards Board (FASB)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described below, certain office locations that the Company vacated in connection with restructuring activities were included in the measurement of its beginning operating lease liabilities. Previous accruals related to these locations of $0.3 million have been presented as a reduction to the operating lease right-of-use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Reconciliation of the employee termination costs and lease-related exit costs beginning and ending liability balance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2"/>
          </w:tcPr>
          <w:p>
            <w:pPr>
              <w:ind w:left="60"/>
              <w:spacing w:after="0"/>
              <w:rPr>
                <w:sz w:val="20"/>
                <w:szCs w:val="20"/>
                <w:color w:val="auto"/>
              </w:rPr>
            </w:pPr>
            <w:r>
              <w:rPr>
                <w:rFonts w:ascii="Arial" w:cs="Arial" w:eastAsia="Arial" w:hAnsi="Arial"/>
                <w:sz w:val="18"/>
                <w:szCs w:val="18"/>
                <w:b w:val="1"/>
                <w:bCs w:val="1"/>
                <w:color w:val="auto"/>
              </w:rPr>
              <w:t>Employee Termination Costs</w:t>
            </w:r>
          </w:p>
        </w:tc>
        <w:tc>
          <w:tcPr>
            <w:tcW w:w="240" w:type="dxa"/>
            <w:vAlign w:val="bottom"/>
          </w:tcPr>
          <w:p>
            <w:pPr>
              <w:spacing w:after="0"/>
              <w:rPr>
                <w:sz w:val="20"/>
                <w:szCs w:val="20"/>
                <w:color w:val="auto"/>
              </w:rPr>
            </w:pPr>
          </w:p>
        </w:tc>
        <w:tc>
          <w:tcPr>
            <w:tcW w:w="238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Lease-Related Exit Costs</w:t>
            </w: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gridSpan w:val="4"/>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40" w:type="dxa"/>
            <w:vAlign w:val="bottom"/>
            <w:gridSpan w:val="4"/>
          </w:tcPr>
          <w:p>
            <w:pPr>
              <w:jc w:val="right"/>
              <w:ind w:right="1850"/>
              <w:spacing w:after="0"/>
              <w:rPr>
                <w:sz w:val="20"/>
                <w:szCs w:val="20"/>
                <w:color w:val="auto"/>
              </w:rPr>
            </w:pPr>
            <w:r>
              <w:rPr>
                <w:rFonts w:ascii="Arial" w:cs="Arial" w:eastAsia="Arial" w:hAnsi="Arial"/>
                <w:sz w:val="18"/>
                <w:szCs w:val="18"/>
                <w:color w:val="auto"/>
              </w:rPr>
              <w:t>(amounts in thousands)</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Charged to restructuring costs</w:t>
            </w:r>
          </w:p>
        </w:tc>
        <w:tc>
          <w:tcPr>
            <w:tcW w:w="16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1,287</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Charged to restructuring costs</w:t>
            </w:r>
          </w:p>
        </w:tc>
        <w:tc>
          <w:tcPr>
            <w:tcW w:w="1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June 30, 2019</w:t>
            </w:r>
          </w:p>
        </w:tc>
        <w:tc>
          <w:tcPr>
            <w:tcW w:w="1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Charged to restructuring costs</w:t>
            </w:r>
          </w:p>
        </w:tc>
        <w:tc>
          <w:tcPr>
            <w:tcW w:w="16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1,310</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1,278</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 of the beginning of the second quarter of 2019, the Company early adopted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350-40), Customer's Accounting for Implementation Costs Incurred in a Cloud Computing Arrangement That is a Service Contract, </w:t>
      </w:r>
      <w:r>
        <w:rPr>
          <w:rFonts w:ascii="Arial" w:cs="Arial" w:eastAsia="Arial" w:hAnsi="Arial"/>
          <w:sz w:val="18"/>
          <w:szCs w:val="18"/>
          <w:color w:val="auto"/>
        </w:rPr>
        <w:t>which aligns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Company has adopted this guidance prospectively to all implementation costs incurred after the date of adoption with no material impact on its consolidated financial statements.</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Effective January 1, 2019, the Company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that, as lessee, leases, as defined by the standard, are to be recognized on the balance sheet as right-of-use assets and as lease liabilities. The Company elected not to apply the recognition requirements to short-term leases (leases with terms of twelve months or less), and to apply the transition method, which is applied prospectively, measuring and recognizing the initial right-of-use asset and liability at January 1, 2019, without revising comparative period information or disclosure. In addition, the Company elected the package of transition provisions available for expired or existing contracts, which allowed the Company to forego assessment of: (1) whether contracts are or contain leases; (2) lease classification; and (3) initial direct costs. Consistent with current accounting, all of the Company's existing leases identified under ASC 840 will be treated as operating leases. The Company has also elected the practical expedient to not separate non-lease components from the lease components to which they relate, and instead account for each as a single lease component, for all of its underlying asset classes. Accordingly, all expenses associated with a lease contract are accounted for as lease expenses.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the later of January 1, 2019 or each lease’s respective commencement date, the Company recorded lease liabilities equal to the present value of its remaining minimum lease payments and right-of-use assets equal to the corresponding lease liability adjusted for any prepaid or accrued lease payments and the remaining balance of lease incentives received. At the transition date, the right-of-use asset and total lease liabilities were $22.0 million and $28.6 million, respectively. The difference between the right-of-use asset and lease liabilities is due to the derecognition of accrued lease payments of $7.2 million, previously included in other current and non-current liabilities, and prepaid rent of $0.6 million, previously included in prepaid expenses. See Note 10 - Leases.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revenues, generated from temporary staffing services and other services, are disaggregated by segment in the following table. Sales and usage-based taxes are excluded from revenue.</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 September 30, 2019</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1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1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200,876</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8,324</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184,974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209,200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1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1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192,468</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3,614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8,249</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175,945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200,717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Nine Months ended September 30, 2019</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1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1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583,253</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3,377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11,136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23,875</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541,398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54,594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11,136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607,128</w:t>
            </w:r>
          </w:p>
        </w:tc>
      </w:tr>
      <w:tr>
        <w:trPr>
          <w:trHeight w:val="20"/>
        </w:trPr>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00"/>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Nine Months ended September 30, 2018</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1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1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59,816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589,478</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9,826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4,236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12,037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26,099</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539,488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64,052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615,577</w:t>
            </w:r>
          </w:p>
        </w:tc>
      </w:tr>
      <w:tr>
        <w:trPr>
          <w:trHeight w:val="20"/>
        </w:trPr>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Accounts receivable includes estimated revenue for the Company's employees', subcontracted employees', and independent contractors’ time worked but not yet invoiced. At September 30, 2019 and December 31, 2018, the Company's estimate of amounts that had been worked but had not been invoiced totaled $45.8 million and $44.1 million, respectively, and are included in accounts receivable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364" w:right="35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 RN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during the third quarter of 2017 as the final adjustment for net working capital. Additionally, $0.6 million of the purchase price was deferred as of the closing and was due to the seller within 20 months, less any Cobra and healthcare payments incurred by the Company on behalf of the seller. The Company incurred approximately $0.5 million in COBRA expenses since the Advantage acquisition and, in February 2019, released to the seller the remaining liability of $0.1 million.</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On April 3, 2019, $4.3 million related to the tax liabilities was disbursed to pay taxes and the remaining $2.9 million was released from escrow to the seller. In the first quarter of 2019, $7.0 million related to the post-close liabilities was released from escrow, leaving a balance of $0.5 million to cover pending post-close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contingent purchase price liabilities for a previously acquired business that are payable annually based on specific performance criteria for the years 2016 through 2019. Payments related to the years 2016 through 2018 were limited to $0.3 million annually and 2019 is uncapped. During each of the nine months ended September 30, 2019 and 2018, the Company paid $0.3 million related to the years 2018 and 2017. As of September 30, 2019, the fair value of the remaining obligations was estimated at $7.5 million and is included in other current and other long-term liabilities on the condensed consolidated balance sheets. See Note 11 - Fair Value Measurements.</w:t>
      </w:r>
    </w:p>
    <w:p>
      <w:pPr>
        <w:spacing w:after="0" w:line="18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Total comprehensive income (loss) includes net income or loss, foreign currency translation adjustments, and net change in derivative transactions, net of any related deferred taxes, if applicable. Certain of the Company’s foreign subsidiaries use their respective local currency as their functional currency. In accordance with the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$1.2 million at September 30, 2019 and $1.3 million at December 31, 2018. In the third quarter of 2019, as a result of the recognition of an unrealized loss on the termination of the Company's interest rate swap agreement, the balance in other comprehensive loss was reversed. As of December 31, 2018, the cumulative impact of net changes in derivative instruments was a loss of $0.2 million. See Note 9 - Derivative.</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income tax impact related to components of other comprehensive (loss) income for the three and nine months ended September 30, 2019 and 2018 is reflected on the condensed consolidated statements of comprehensive (loss) income. During the second quarter of 2019, the Company established a valuation allowance on its deferred tax assets. As a result, the first quarter's tax impact recorded through other comprehensive income was reversed.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4" w:right="259" w:bottom="1440" w:gutter="0" w:footer="0" w:header="0"/>
        </w:sectPr>
      </w:pPr>
    </w:p>
    <w:bookmarkStart w:id="13" w:name="page14"/>
    <w:bookmarkEnd w:id="13"/>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3"/>
                <w:szCs w:val="23"/>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color w:val="auto"/>
                <w:w w:val="99"/>
              </w:rPr>
              <w:t>(amounts in thousands, except per share data)</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w w:val="99"/>
              </w:rPr>
              <w:t>Net (loss) income attributable to common shareholders - Basic and</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(56,569)</w:t>
            </w:r>
          </w:p>
        </w:tc>
        <w:tc>
          <w:tcPr>
            <w:tcW w:w="12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Weighted average common shares - 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35,594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35,682</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Effect of diluted shares: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awards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35,865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35,594</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35,797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35,881</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Net (loss) income per share attributable to common shareholders -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8"/>
                <w:szCs w:val="18"/>
                <w:color w:val="auto"/>
                <w:w w:val="92"/>
              </w:rPr>
              <w:t>Net (loss) income per share attributable to common shareholders -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three and nine months ended September 30, 2019 and 2018, no tax benefits were assumed in the weighted average share calculation due to the Company's net operating loss position.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Due to the net loss for the three and nine months ended September 30, 2019 and the three months ended September 30, 2018, 317,905, 177,449, and 130,965 shares, respectively, were excluded from diluted weighted average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900" w:type="dxa"/>
            <w:vAlign w:val="bottom"/>
            <w:gridSpan w:val="8"/>
          </w:tcPr>
          <w:p>
            <w:pPr>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40" w:type="dxa"/>
            <w:vAlign w:val="bottom"/>
            <w:gridSpan w:val="6"/>
          </w:tcPr>
          <w:p>
            <w:pPr>
              <w:spacing w:after="0"/>
              <w:rPr>
                <w:sz w:val="20"/>
                <w:szCs w:val="20"/>
                <w:color w:val="auto"/>
              </w:rPr>
            </w:pPr>
            <w:r>
              <w:rPr>
                <w:rFonts w:ascii="Arial" w:cs="Arial" w:eastAsia="Arial" w:hAnsi="Arial"/>
                <w:sz w:val="18"/>
                <w:szCs w:val="18"/>
                <w:color w:val="auto"/>
                <w:w w:val="91"/>
              </w:rPr>
              <w:t>The Company had the following acquired intangible assets: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20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30,530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11,506</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30,530</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9,216</w:t>
            </w:r>
          </w:p>
        </w:tc>
        <w:tc>
          <w:tcPr>
            <w:tcW w:w="22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49,758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25,771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23,296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7,700</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2,161</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5,539</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1,696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88,308</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39,583</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48,725</w:t>
            </w: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89,487</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34,305</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55,182</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Intangible assets not subject to</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Trade names, indefinite-lived</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gridSpan w:val="8"/>
            <w:vMerge w:val="restart"/>
          </w:tcPr>
          <w:p>
            <w:pPr>
              <w:spacing w:after="0"/>
              <w:rPr>
                <w:sz w:val="20"/>
                <w:szCs w:val="20"/>
                <w:color w:val="auto"/>
              </w:rPr>
            </w:pPr>
            <w:r>
              <w:rPr>
                <w:rFonts w:ascii="Arial" w:cs="Arial" w:eastAsia="Arial" w:hAnsi="Arial"/>
                <w:sz w:val="18"/>
                <w:szCs w:val="18"/>
                <w:color w:val="auto"/>
                <w:w w:val="91"/>
              </w:rPr>
              <w:t>As of September 30, 2019, estimated annual amortization expense is as follows: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90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49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6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Borders>
              <w:top w:val="single" w:sz="8" w:color="auto"/>
            </w:tcBorders>
          </w:tcPr>
          <w:p>
            <w:pPr>
              <w:jc w:val="right"/>
              <w:ind w:right="49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names and other intangible assets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part of evolving its go-to-market strategy, in the second quarter of 2019, the Company began eliminating certain brands across all of its segments. The Company’s rebranding efforts resulted in a $14.5 million write-off of indefinite-lived trade names related to its Nurse and Allied Staffing business segment, which is presented as impairment charges on the condensed consolidated statements of operations. In addition, certain finite-lived trade names were accelerated, which resulted in additional amortization expense related to the Company's Nurse and Allied Staffing and Physician Staffing business segments of $0.1 million and $0.5 million, respectively, during the quarter ended June 30, 2019, and $0.3 million related to its Physician Staffing business segment during the quarter ended September 30, 2019. There was no additional amortization expense for Nurse and Allied Staffing in the quarter ended September 30,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of September 30, 2019, the Company performed a qualitative assessment of each of its reporting units and determined it was not more likely than not that the fair value of its reporting units dropped below their carrying value. As a result, management concluded that no impairment testing was warranted as of September 30, 2019. Although management believes that the Company's current estimates and assumptions are reasonable and supportable, there can be no assurance that the estimates and assumptions made for purposes of the impairment testing will prove to be accurate predictions of future performance.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p>
      <w:pPr>
        <w:jc w:val="both"/>
        <w:ind w:right="140"/>
        <w:spacing w:after="0" w:line="312" w:lineRule="auto"/>
        <w:rPr>
          <w:sz w:val="20"/>
          <w:szCs w:val="20"/>
          <w:color w:val="auto"/>
        </w:rPr>
      </w:pPr>
      <w:r>
        <w:rPr>
          <w:rFonts w:ascii="Arial" w:cs="Arial" w:eastAsia="Arial" w:hAnsi="Arial"/>
          <w:sz w:val="16"/>
          <w:szCs w:val="16"/>
          <w:color w:val="auto"/>
        </w:rPr>
        <w:t>As a result of the Company merging its permanent search recruitment brands into its Search segment in the second quarter of 2019, $2.4 million of goodwill was reassigned to its Search reporting unit from Nurse and Allied Staffing. As of September 30, 2019, goodwill by reporting segment was: $86.4 million for Nurse and Allied Staffing, $2.8 million for Physician Staffing, and $11.9 million for Search, totaling $101.1 million. See Note 13 - Segment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The Company's long-term debt consisted of the following: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 2019</w:t>
            </w:r>
          </w:p>
        </w:tc>
        <w:tc>
          <w:tcPr>
            <w:tcW w:w="240" w:type="dxa"/>
            <w:vAlign w:val="bottom"/>
          </w:tcPr>
          <w:p>
            <w:pPr>
              <w:spacing w:after="0"/>
              <w:rPr>
                <w:sz w:val="24"/>
                <w:szCs w:val="24"/>
                <w:color w:val="auto"/>
              </w:rPr>
            </w:pPr>
          </w:p>
        </w:tc>
        <w:tc>
          <w:tcPr>
            <w:tcW w:w="2600" w:type="dxa"/>
            <w:vAlign w:val="bottom"/>
            <w:gridSpan w:val="4"/>
          </w:tcPr>
          <w:p>
            <w:pPr>
              <w:jc w:val="right"/>
              <w:ind w:right="594"/>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Debt Issuance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w w:val="90"/>
              </w:rPr>
              <w:t>Debt Issuance</w:t>
            </w: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Costs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Term Loan, interest 5.4% and 4.8% at September 30, 2019 and December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2018, respectively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71,376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78,641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Facility</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September 30, 2019, the Company entered into a Third Amendment (Third Amendment) to its Amended and Restated Credit Agreement dated August 1, 2017 that modified the following: (1) reduced the Aggregate Revolving Commitments from $75.0 million to $65.0 million on the effective date, to $55.0 million on October 31, 2019, to $45.0 million on November 30, 2019, and to $35.0 million on December 31, 2019; (2) reduced the Letter of Credit sublimit from $35.0 million to $25.0 million; (3) changed the maximum Consolidated Net Leverage Ratio from 4.25:1:00 to 4.60:1:00 for the period ending September 30, 2019; and (4) changed the minimum Consolidated Fixed Charge Coverage Ratio from 1.50:1.00 to 1.10:1.00 for the period ending September 30, 2019. The Company was in compliance with the covenants contained in the Amended and Restated Credit Agreement as of September 30, 2019.</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March 29, 2019, the Company entered into a Second Amendment (Second Amendment) to its Amended and Restated Credit Agreement that, among other administrative changes, modified the following: (1) changed the financial leverage ratio from Consolidated Total Leverage to Consolidated Net Leverage and permitted a maximum Consolidated Net Leverage Ratio of 4.60:1.00 for the periods of December 31, 2018 through June 30, 2019, 4.25:1:00 for the period ending September 30, 2019, 4.00:1.00 for the period ending December 31, 2019, 3.75:1.00 for the period ending March 31, 2020, 3.50:1.00 for the period ending June 30, 2020, 3.25:1.00 for the period ending September 30, 2020, and maintained 3.00:1:00 for the periods thereafter and as adjusted pursuant to a Specified and Qualified Permitted Acquisition (as defined therein); (2) the Applicable Margin definition was revised to: modify Level V to be greater than or equal to 3.00:1.00 but less than 3.50:1.00; added an additional Level VI if the Consolidated Net Leverage is greater than or equal to 3.50:1.00 but less than 4.00:1.00; and added an additional Level VII if Consolidated Net Leverage Ratio is greater than 4.00:1.00. The added Levels VI and VII resulted in an increase in the Applicable Margin for borrowing from their respective prior Levels by 25 basis points for each and an increase of 5 basis points to the Commitment Fee for each; (3) added an additional financial covenant for the quarters ending March 31, 2019 through and including the quarter ending December 31, 2019, that requires the Consolidated Asset Coverage Ratio to be no less than 1.10:1.00; and (4) lowered the Aggregate Revolving Commitments from $115.0 million to $75.0 million through the exercise of a $40 million Optional Reduction.</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Both amendments were treated as modifications. As a result, debt issuance costs were written off and included as loss on early extinguishment of debt on the consolidated condensed statement of operations. In addition, fees paid in connection with the Second Amendment of $0.6 million in the first six months of 2019, as well as $0.1 million paid in fees in the third quarter of 2019 in connection with the Third Amendment, were included as debt issuance costs associated with the revolving credit facility and as a reduction to the carrying amount of the term loan and were expected to be amortized to interest expense over the remaining term of the arrangement.</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29, 2019 and June 28, 2019, the Company made optional prepayments of $7.5 million and $5.0 million, respectively, on its Term Loan, which have been allocated to the next consecutive scheduled quarterly payments resulting in the next seven and a portion of the eighth payment being prepaid. The Company had the right at any time and from time to time to prepay any borrowing, in whole or in part, without premium or penalty, by giving written notice (or telephonic notice promptly confirmed in writing). The Company was required to prepay its Term Loan and Revolving Credit Facility under certain circumstances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ind w:right="520"/>
        <w:spacing w:after="0" w:line="277" w:lineRule="auto"/>
        <w:rPr>
          <w:sz w:val="20"/>
          <w:szCs w:val="20"/>
          <w:color w:val="auto"/>
        </w:rPr>
      </w:pPr>
      <w:r>
        <w:rPr>
          <w:rFonts w:ascii="Arial" w:cs="Arial" w:eastAsia="Arial" w:hAnsi="Arial"/>
          <w:sz w:val="18"/>
          <w:szCs w:val="18"/>
          <w:color w:val="auto"/>
        </w:rPr>
        <w:t>including from net cash proceeds from asset sales or dispositions in excess of certain thresholds, as well as from net cash proceeds from the issuance of certain debt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aggregate scheduled maturities of the term loan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jc w:val="right"/>
              <w:ind w:right="731"/>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8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jc w:val="right"/>
              <w:ind w:right="411"/>
              <w:spacing w:after="0"/>
              <w:rPr>
                <w:sz w:val="20"/>
                <w:szCs w:val="20"/>
                <w:color w:val="auto"/>
              </w:rPr>
            </w:pPr>
            <w:r>
              <w:rPr>
                <w:rFonts w:ascii="Arial" w:cs="Arial" w:eastAsia="Arial" w:hAnsi="Arial"/>
                <w:sz w:val="16"/>
                <w:szCs w:val="16"/>
                <w:color w:val="auto"/>
              </w:rPr>
              <w:t>(amounts in thousands)</w:t>
            </w:r>
          </w:p>
        </w:tc>
      </w:tr>
      <w:tr>
        <w:trPr>
          <w:trHeight w:val="33"/>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5,386</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65,990</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71,376</w:t>
            </w:r>
          </w:p>
        </w:tc>
      </w:tr>
      <w:tr>
        <w:trPr>
          <w:trHeight w:val="20"/>
        </w:trPr>
        <w:tc>
          <w:tcPr>
            <w:tcW w:w="8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Subject to the terms of the Amended and Restated Credit Agreement, the Company paid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was a percentage per annum determined by reference to the applicable Consolidated Net Leverage Ratio (as defined by the agreement) in effect on such date.</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September 30, 2019, the Amended Term Loan and Amended Revolving Credit Facility bore interest at a rate equal to One Month LIBOR plus 3.25%. The interest rate was subject to an increase of 2.00% if an event of default exists under the Amended and Restated Credit Agreement. The Company was required to pay a commitment fee on the average daily unused portion of the Amended Revolving Credit Facility, based on the Applicable Margin which is 0.50% as of September 30, 2019. During the three months ended March 31, 2018, the Company entered into an interest rate swap to reduce its exposure to fluctuations in the interest rates associated with its debt, which was effective April 2, 2018. The Company terminated its interest rate swap agreement on September 26, 2019. See Note 9 - Derivative.</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Amended and Restated Credit Agreement contained customary representations, warranties, and affirmative covenants. The Amended and Restated Credit Agreement also contained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contained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obligations under the Amended and Restated Credit Agreement were guaranteed by all of the Company’s domestic wholly-owned subsidiaries and are secured by a first-priority security interest in the Collateral (as defined therein).</w:t>
      </w:r>
    </w:p>
    <w:p>
      <w:pPr>
        <w:spacing w:after="0" w:line="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September 30, 2019, the Company had $20.6 million letters of credit outstanding, which related to the Company’s workers’ compensation and professional liability insurance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Loan Agreement October 2019</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October 25, 2019, the Company entered into a new $120.0 million senior secured asset-based credit facility (the ABL) and terminated its commitments under its Amended and Restated Credit Agreement.</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initial amounts drawn on the new ABL included funds to repay its then outstanding borrowings of $75.4 million under its prior Amended and Restated Credit Agreement and $1.3 million for the payment of fees, expenses, and accrued interest, as well as to backstop $21.2 million for outstanding letters of credit, leaving $21.4 million of borrowing availability. The refinancing is treated as extinguishment of debt, and, as a result, the Company expects to recognize an additional loss on early extinguishment of debt in the fourth quarter of 2019 of approximately $1.4 million, related to the write-off of debt issuance costs.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ind w:right="200"/>
        <w:spacing w:after="0" w:line="272" w:lineRule="auto"/>
        <w:rPr>
          <w:sz w:val="20"/>
          <w:szCs w:val="20"/>
          <w:color w:val="auto"/>
        </w:rPr>
      </w:pPr>
      <w:r>
        <w:rPr>
          <w:rFonts w:ascii="Arial" w:cs="Arial" w:eastAsia="Arial" w:hAnsi="Arial"/>
          <w:sz w:val="17"/>
          <w:szCs w:val="17"/>
          <w:color w:val="auto"/>
        </w:rPr>
        <w:t>The ABL provides for a five-year revolving credit facility, including a sublimit for swing loans up to $15.0 million and a $35.0 million sublimit for standby letters of credit. Availability of the ABL commitments is subject to a borrowing base of up to 85% of secured eligible accounts receivable, subject to adjustment at certain quality levels, plus an amount of supplemental availability, initially equal to $16.9 million, and reducing over time in accordance with the terms of the definitive loan agreement for the ABL (the Loan Agreement), minus customary reserves, and subject to customary adjustments. As of the closing, the amount of the borrowing base was $119.3 million. Revolving loans and letters of credit issued under the Loan Agreement reduce availability under the ABL on a dollar-for-dollar basis. Availability under the ABL will be used for general corporate purposes. Additionally, the facility contains an uncommitted accordion provision to increase the amount of the facility by an additional $30.0 million.</w:t>
      </w:r>
    </w:p>
    <w:p>
      <w:pPr>
        <w:spacing w:after="0" w:line="178"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Borrowings under the ABL generally bear interest at a variable rate based on either LIBOR or Base Rate plus an applicable margin, subject to monthly pricing adjustments, pursuant to a pricing matrix based on the Company’s excess availability under the revolving credit facility. In addition, the facility is subject to an unused fee, letter of credit fees and an administrative fee. The Loan Agreement contains various restrictions and covenants applicable to the Company and its subsidiaries, including a covenant to maintain a minimum fixed charge coverage ratio. Obligations under the ABL are secured by substantially all the assets of the borrowers and guarantors under the ABL, subject to customary exceptions.</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Loan Agreement also contains customary events of default. If an event of default under the Loan Agreement occurs and is continuing, then the administrative agent or the requisite lenders may declare any outstanding obligations under the Loan Agreement to be immediately due and payable. In addition, if the Company or any of its subsidiaries becomes the subject of voluntary or involuntary proceedings under any bankruptcy, insolvency or similar law, than any outstanding obligations under the Loan Agreement will automatically become due and payable.</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DERIVATIVE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had an interest rate swap agreement that, at initiation, effectively fixed the interest rate on 50% of the amortizing balance of the Company’s term debt, exclusive of the credit spread on the debt. The interest rate swap agreement required the Company to pay a fixed rate to the respective counterparty of 2.627% per annum on an amortizing notional amount corresponding with the initial term loan payment schedule, and to receive from the respective counterparty, interest payments based on the applicable notional amounts and 1 month USD LIBOR, with no exchanges of notional amounts. As of December 31, 2018, the interest rate swap was treated as a cash flow hedge and its fair value of a $0.2 million liability is included in other current and other long-term liabilities on the consolidated balance sheets.</w:t>
      </w:r>
    </w:p>
    <w:p>
      <w:pPr>
        <w:spacing w:after="0" w:line="19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anticipated entering into the new asset-based credit facility that closed in October 2019 (See Note 8 - Debt). In contemplation of that, the Company terminated its interest rate swap agreement by making a cash payment of $1.3 million on September 26, 2019, which is included in net cash provided by operating activities on the condensed consolidated statement of cash flows. As the forecasted interest payments related to the swap were no longer expected to occur, the unrealized amount of loss that had accumulated in other comprehensive loss was recognized resulting in a $1.3 million loss in the third quarter of 2019, included in loss on derivative on the condensed consolidated statement of operations.</w:t>
      </w:r>
    </w:p>
    <w:p>
      <w:pPr>
        <w:spacing w:after="0" w:line="16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has lease contracts related to the rental of office space, housing for its healthcare professionals on assignments, and other equipment rentals. The Company's lease population included in the recognition of its beginning right-of-use asset and lease liabilities under the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of the FASB ASC is substantially related to the rental of office space. The Company enters into lease agreements as lessee for the rental of office space for both its corporate and branch locations that may include options to extend or terminate early. Many of these real estate leases require variable payments of property taxes, insurance, and common area maintenance, in addition to base rent. The variable portion of these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on the condensed consolidated statement of operations. These leases do not include residual value guarantees, covenants, or other restrictions. Certain of the leases have provisions for free rent months during the lease term and/or escalating rent payments. In addition, particularly for the Company’s longer-term leases for its corporate offices, it has received incentives to enter into the leases such as receiving up to a specified dollar amount to construct tenant improvements. These lease incentives resulted in deferred rent credits. Upon adoption of the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of the FASB ASC, these deferred rent credits reduced the beginning operating right-of-use asset recognized and, consistent with the prior guidance will be recognized as a reduction to future rent expense over the expected remaining term of the respective leases.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spacing w:after="0" w:line="289" w:lineRule="auto"/>
        <w:rPr>
          <w:sz w:val="20"/>
          <w:szCs w:val="20"/>
          <w:color w:val="auto"/>
        </w:rPr>
      </w:pPr>
      <w:r>
        <w:rPr>
          <w:rFonts w:ascii="Arial" w:cs="Arial" w:eastAsia="Arial" w:hAnsi="Arial"/>
          <w:sz w:val="16"/>
          <w:szCs w:val="16"/>
          <w:color w:val="auto"/>
        </w:rPr>
        <w:t>The Company determines whether an arrangement constitutes a lease and records lease liabilities and right-of-use assets on its consolidated balance sheets at lease commencement. Lease liabilities are measured based on the present value of the total lease payments not yet paid discounted based on its incremental borrowing rate, as the rate implicit in the lease is not determinable. Its incremental borrowing rate is estimated based on what it would be required to pay for a collateralized borrowing equal to the total lease payments over the term of the lease. As such, the Company estimates its incremental borrowing rate based on an analysis of publicly traded debt securities of companies with credit and financial profiles similar to its own. 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us. The Company does not assume renewals or early terminations unless it is reasonably certain to exercise these options at commencement. For short-term leases, rent expense is recognized in the condensed consolidated statements of operations on a straight-line basis over the lease term.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w w:val="91"/>
              </w:rPr>
              <w:t>The table below presents the lease-related assets and liabilities included on the condensed consolidated balance sheets:</w:t>
            </w: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300" w:type="dxa"/>
            <w:vAlign w:val="bottom"/>
          </w:tcPr>
          <w:p>
            <w:pPr>
              <w:spacing w:after="0"/>
              <w:rPr>
                <w:sz w:val="24"/>
                <w:szCs w:val="24"/>
                <w:color w:val="auto"/>
              </w:rPr>
            </w:pPr>
          </w:p>
        </w:tc>
        <w:tc>
          <w:tcPr>
            <w:tcW w:w="2320" w:type="dxa"/>
            <w:vAlign w:val="bottom"/>
          </w:tcPr>
          <w:p>
            <w:pPr>
              <w:jc w:val="right"/>
              <w:ind w:right="47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4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6"/>
              </w:rPr>
              <w:t>(amounts in thousands)</w:t>
            </w:r>
          </w:p>
        </w:tc>
      </w:tr>
      <w:tr>
        <w:trPr>
          <w:trHeight w:val="243"/>
        </w:trPr>
        <w:tc>
          <w:tcPr>
            <w:tcW w:w="4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17,796</w:t>
            </w: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4,936</w:t>
            </w:r>
          </w:p>
        </w:tc>
      </w:tr>
      <w:tr>
        <w:trPr>
          <w:trHeight w:val="243"/>
        </w:trPr>
        <w:tc>
          <w:tcPr>
            <w:tcW w:w="4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20,112</w:t>
            </w:r>
          </w:p>
        </w:tc>
      </w:tr>
      <w:tr>
        <w:trPr>
          <w:trHeight w:val="162"/>
        </w:trPr>
        <w:tc>
          <w:tcPr>
            <w:tcW w:w="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50"/>
        </w:trPr>
        <w:tc>
          <w:tcPr>
            <w:tcW w:w="4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 years</w:t>
            </w:r>
          </w:p>
        </w:tc>
      </w:tr>
      <w:tr>
        <w:trPr>
          <w:trHeight w:val="243"/>
        </w:trPr>
        <w:tc>
          <w:tcPr>
            <w:tcW w:w="4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Weighted average discount rate (a)</w:t>
            </w:r>
          </w:p>
        </w:tc>
        <w:tc>
          <w:tcPr>
            <w:tcW w:w="3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43"/>
        </w:trPr>
        <w:tc>
          <w:tcPr>
            <w:tcW w:w="878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Upon adoption of the new lease standard, discount rates used for existing leases were established at January 1, 2019.</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on the condensed consolidated balance sheets as of September 30, 2019:</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00" w:type="dxa"/>
            <w:vAlign w:val="bottom"/>
          </w:tcPr>
          <w:p>
            <w:pPr>
              <w:spacing w:after="0"/>
              <w:rPr>
                <w:sz w:val="20"/>
                <w:szCs w:val="20"/>
                <w:color w:val="auto"/>
              </w:rPr>
            </w:pPr>
          </w:p>
        </w:tc>
        <w:tc>
          <w:tcPr>
            <w:tcW w:w="2320" w:type="dxa"/>
            <w:vAlign w:val="bottom"/>
          </w:tcPr>
          <w:p>
            <w:pPr>
              <w:jc w:val="right"/>
              <w:ind w:right="390"/>
              <w:spacing w:after="0"/>
              <w:rPr>
                <w:sz w:val="20"/>
                <w:szCs w:val="20"/>
                <w:color w:val="auto"/>
              </w:rPr>
            </w:pPr>
            <w:r>
              <w:rPr>
                <w:rFonts w:ascii="Arial" w:cs="Arial" w:eastAsia="Arial" w:hAnsi="Arial"/>
                <w:sz w:val="18"/>
                <w:szCs w:val="18"/>
                <w:color w:val="auto"/>
                <w:w w:val="96"/>
              </w:rPr>
              <w:t>(amounts in thousands)</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6,775</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5,924</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5,042</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4,696</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5,869</w:t>
            </w:r>
          </w:p>
        </w:tc>
      </w:tr>
      <w:tr>
        <w:trPr>
          <w:trHeight w:val="27"/>
        </w:trPr>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Total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29,560</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Less: amount of lease payments representing interest</w:t>
            </w:r>
          </w:p>
        </w:tc>
        <w:tc>
          <w:tcPr>
            <w:tcW w:w="3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(4,512)</w:t>
            </w:r>
          </w:p>
        </w:tc>
      </w:tr>
      <w:tr>
        <w:trPr>
          <w:trHeight w:val="27"/>
        </w:trPr>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Present value of future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25,048</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Less: current lease obligations</w:t>
            </w:r>
          </w:p>
        </w:tc>
        <w:tc>
          <w:tcPr>
            <w:tcW w:w="3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(4,936)</w:t>
            </w:r>
          </w:p>
        </w:tc>
      </w:tr>
      <w:tr>
        <w:trPr>
          <w:trHeight w:val="27"/>
        </w:trPr>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Non-current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20,112</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Future minimum lease payments, as of December 31, 2018, associated with non-cancelable operating lease agreements with terms of one year or more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jc w:val="center"/>
              <w:ind w:right="230"/>
              <w:spacing w:after="0"/>
              <w:rPr>
                <w:sz w:val="20"/>
                <w:szCs w:val="20"/>
                <w:color w:val="auto"/>
              </w:rPr>
            </w:pPr>
            <w:r>
              <w:rPr>
                <w:rFonts w:ascii="Arial" w:cs="Arial" w:eastAsia="Arial" w:hAnsi="Arial"/>
                <w:sz w:val="18"/>
                <w:szCs w:val="18"/>
                <w:color w:val="auto"/>
                <w:w w:val="89"/>
              </w:rPr>
              <w:t>(amounts 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6,287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30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4,857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Total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September 30, 2019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(amounts in thousands)</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color w:val="auto"/>
              </w:rPr>
              <w:t>The components of lease expense are as follows:</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jc w:val="right"/>
              <w:ind w:right="470"/>
              <w:spacing w:after="0"/>
              <w:rPr>
                <w:sz w:val="20"/>
                <w:szCs w:val="20"/>
                <w:color w:val="auto"/>
              </w:rPr>
            </w:pPr>
            <w:r>
              <w:rPr>
                <w:rFonts w:ascii="Arial" w:cs="Arial" w:eastAsia="Arial" w:hAnsi="Arial"/>
                <w:sz w:val="18"/>
                <w:szCs w:val="18"/>
                <w:b w:val="1"/>
                <w:bCs w:val="1"/>
                <w:color w:val="auto"/>
              </w:rPr>
              <w:t>September 30, 2019</w:t>
            </w:r>
          </w:p>
        </w:tc>
        <w:tc>
          <w:tcPr>
            <w:tcW w:w="280" w:type="dxa"/>
            <w:vAlign w:val="bottom"/>
          </w:tcPr>
          <w:p>
            <w:pPr>
              <w:spacing w:after="0"/>
              <w:rPr>
                <w:sz w:val="23"/>
                <w:szCs w:val="23"/>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September 30, 2019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jc w:val="right"/>
              <w:ind w:right="1650"/>
              <w:spacing w:after="0"/>
              <w:rPr>
                <w:sz w:val="20"/>
                <w:szCs w:val="20"/>
                <w:color w:val="auto"/>
              </w:rPr>
            </w:pPr>
            <w:r>
              <w:rPr>
                <w:rFonts w:ascii="Arial" w:cs="Arial" w:eastAsia="Arial" w:hAnsi="Arial"/>
                <w:sz w:val="18"/>
                <w:szCs w:val="18"/>
                <w:color w:val="auto"/>
              </w:rPr>
              <w:t>(amounts in thousands)</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Amounts Included in Condensed Consolidated Statements of Operations:</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Short-term lease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2,124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6,232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and other lease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3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and direct operating expenses on the Company's condensed consolidated statements of operations, depending on the nature of the leased asset. In the third quarter of 2019, the Company ceased use of several facilities and is in the process of seeking to sublet some of the space where possible. The decision and change in the use of space resulted in a right-of-use asset impairment charge of $1.2 million, presented as impairment charges on the condensed consolidated statements of operations. See Note 11 -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Company does not have any material operating leases which have not yet commenced.</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ind w:right="36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financial assets/liabilities required to be measured on a recurring basis were its: (1) deferred compensation asset included in other non-current assets; (2) deferred compensation liability included in other long-term liabilities; (3) interest rate swap agreement included in other current and other long-term liabilities; and (4) contingent consideration liabilities included in other current and other long-term liabilities.</w:t>
      </w:r>
    </w:p>
    <w:p>
      <w:pPr>
        <w:spacing w:after="0" w:line="18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Interest rate swap agreement</w:t>
      </w:r>
      <w:r>
        <w:rPr>
          <w:rFonts w:ascii="Arial" w:cs="Arial" w:eastAsia="Arial" w:hAnsi="Arial"/>
          <w:sz w:val="18"/>
          <w:szCs w:val="18"/>
          <w:color w:val="auto"/>
        </w:rPr>
        <w:t>—The Company utilized Level 2 inputs to value its interest rate swap agreement through the date of its termination. See Note 8 -</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Note 9 - Derivative.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Contingent consideration liabilities</w:t>
      </w:r>
      <w:r>
        <w:rPr>
          <w:rFonts w:ascii="Arial" w:cs="Arial" w:eastAsia="Arial" w:hAnsi="Arial"/>
          <w:sz w:val="18"/>
          <w:szCs w:val="18"/>
          <w:color w:val="auto"/>
        </w:rPr>
        <w:t>—Potential earnout payments related to the acquisition of Mediscan are contingent upon meeting certain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through 2019. The long-term portion of these liabilities has been included in other long-term liabilities,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The Mediscan contingent consideration liability had been measured at fair value through June 30, 2019 using a discounted cash flow model in a Monte Carlo simulation setting, utilizing significant unobservable inputs, including the expected volatility of the acquisitions' gross profits and an estimated discount rate commensurate with the risks of the expected gross profit stream. As of September 30, 2019, due to the end of the earnout period approaching, the Company measured the fair value of the liability based on the expected payout. See Note 4 - Acquisitions.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ind w:left="7020"/>
        <w:spacing w:after="0"/>
        <w:tabs>
          <w:tab w:leader="none" w:pos="9540" w:val="left"/>
        </w:tabs>
        <w:rPr>
          <w:sz w:val="20"/>
          <w:szCs w:val="20"/>
          <w:color w:val="auto"/>
        </w:rPr>
      </w:pPr>
      <w:r>
        <w:rPr>
          <w:rFonts w:ascii="Arial" w:cs="Arial" w:eastAsia="Arial" w:hAnsi="Arial"/>
          <w:sz w:val="18"/>
          <w:szCs w:val="18"/>
          <w:b w:val="1"/>
          <w:bCs w:val="1"/>
          <w:color w:val="auto"/>
        </w:rPr>
        <w:t>September 30, 2019</w:t>
      </w:r>
      <w:r>
        <w:rPr>
          <w:sz w:val="20"/>
          <w:szCs w:val="20"/>
          <w:color w:val="auto"/>
        </w:rPr>
        <w:tab/>
      </w:r>
      <w:r>
        <w:rPr>
          <w:rFonts w:ascii="Arial" w:cs="Arial" w:eastAsia="Arial" w:hAnsi="Arial"/>
          <w:sz w:val="15"/>
          <w:szCs w:val="15"/>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5"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280"/>
        <w:spacing w:after="0"/>
        <w:tabs>
          <w:tab w:leader="none" w:pos="6640" w:val="left"/>
          <w:tab w:leader="none" w:pos="8520" w:val="left"/>
          <w:tab w:leader="none" w:pos="9140" w:val="left"/>
          <w:tab w:leader="none" w:pos="1112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48895</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(Level 1)</w:t>
      </w:r>
    </w:p>
    <w:p>
      <w:pPr>
        <w:spacing w:after="0" w:line="72" w:lineRule="exact"/>
        <w:rPr>
          <w:sz w:val="20"/>
          <w:szCs w:val="20"/>
          <w:color w:val="auto"/>
        </w:rPr>
      </w:pPr>
    </w:p>
    <w:p>
      <w:pPr>
        <w:ind w:left="280"/>
        <w:spacing w:after="0"/>
        <w:tabs>
          <w:tab w:leader="none" w:pos="6640" w:val="left"/>
          <w:tab w:leader="none" w:pos="8380" w:val="left"/>
          <w:tab w:leader="none" w:pos="9140" w:val="left"/>
          <w:tab w:leader="none" w:pos="1088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(Level 2)</w:t>
      </w:r>
    </w:p>
    <w:p>
      <w:pPr>
        <w:spacing w:after="0" w:line="72" w:lineRule="exact"/>
        <w:rPr>
          <w:sz w:val="20"/>
          <w:szCs w:val="20"/>
          <w:color w:val="auto"/>
        </w:rPr>
      </w:pPr>
    </w:p>
    <w:p>
      <w:pPr>
        <w:ind w:left="280"/>
        <w:spacing w:after="0"/>
        <w:tabs>
          <w:tab w:leader="none" w:pos="6640" w:val="left"/>
          <w:tab w:leader="none" w:pos="8620" w:val="left"/>
          <w:tab w:leader="none" w:pos="9140" w:val="left"/>
          <w:tab w:leader="none" w:pos="1102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(Level 3)</w:t>
      </w:r>
    </w:p>
    <w:p>
      <w:pPr>
        <w:spacing w:after="0" w:line="72" w:lineRule="exact"/>
        <w:rPr>
          <w:sz w:val="20"/>
          <w:szCs w:val="20"/>
          <w:color w:val="auto"/>
        </w:rPr>
      </w:pPr>
    </w:p>
    <w:p>
      <w:pPr>
        <w:ind w:left="280"/>
        <w:spacing w:after="0"/>
        <w:tabs>
          <w:tab w:leader="none" w:pos="6640" w:val="left"/>
          <w:tab w:leader="none" w:pos="8380" w:val="left"/>
          <w:tab w:leader="none" w:pos="9140" w:val="left"/>
          <w:tab w:leader="none" w:pos="10880" w:val="left"/>
        </w:tabs>
        <w:rPr>
          <w:sz w:val="20"/>
          <w:szCs w:val="20"/>
          <w:color w:val="auto"/>
        </w:rPr>
      </w:pPr>
      <w:r>
        <w:rPr>
          <w:rFonts w:ascii="Arial" w:cs="Arial" w:eastAsia="Arial" w:hAnsi="Arial"/>
          <w:sz w:val="18"/>
          <w:szCs w:val="18"/>
          <w:color w:val="auto"/>
        </w:rPr>
        <w:t>Contingent consideration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7,484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26035"/>
                    </a:xfrm>
                    <a:prstGeom prst="rect">
                      <a:avLst/>
                    </a:prstGeom>
                    <a:noFill/>
                  </pic:spPr>
                </pic:pic>
              </a:graphicData>
            </a:graphic>
          </wp:anchor>
        </w:drawing>
      </w:r>
    </w:p>
    <w:p>
      <w:pPr>
        <w:spacing w:after="0" w:line="2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271"/>
              <w:spacing w:after="0"/>
              <w:rPr>
                <w:sz w:val="20"/>
                <w:szCs w:val="20"/>
                <w:color w:val="auto"/>
              </w:rPr>
            </w:pPr>
            <w:r>
              <w:rPr>
                <w:rFonts w:ascii="Arial" w:cs="Arial" w:eastAsia="Arial" w:hAnsi="Arial"/>
                <w:sz w:val="18"/>
                <w:szCs w:val="18"/>
                <w:b w:val="1"/>
                <w:bCs w:val="1"/>
                <w:color w:val="auto"/>
                <w:w w:val="90"/>
              </w:rPr>
              <w:t>Contingent Consideration</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40" w:type="dxa"/>
            <w:vAlign w:val="bottom"/>
          </w:tcPr>
          <w:p>
            <w:pPr>
              <w:jc w:val="center"/>
              <w:ind w:right="251"/>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ind w:right="251"/>
              <w:spacing w:after="0"/>
              <w:rPr>
                <w:sz w:val="20"/>
                <w:szCs w:val="20"/>
                <w:color w:val="auto"/>
              </w:rPr>
            </w:pPr>
            <w:r>
              <w:rPr>
                <w:rFonts w:ascii="Arial" w:cs="Arial" w:eastAsia="Arial" w:hAnsi="Arial"/>
                <w:sz w:val="16"/>
                <w:szCs w:val="16"/>
                <w:color w:val="auto"/>
                <w:w w:val="89"/>
              </w:rPr>
              <w:t>(amounts in thousands)</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December 31, 2018</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34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Valuation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March 31, 2019</w:t>
            </w:r>
          </w:p>
        </w:tc>
        <w:tc>
          <w:tcPr>
            <w:tcW w:w="3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Valuation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3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8,089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Payments</w:t>
            </w:r>
          </w:p>
        </w:tc>
        <w:tc>
          <w:tcPr>
            <w:tcW w:w="3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Valuation adjustment</w:t>
            </w:r>
          </w:p>
        </w:tc>
        <w:tc>
          <w:tcPr>
            <w:tcW w:w="34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September 30, 2019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an evaluation of goodwill, trade names, and other intangible assets during the fourth quarter of 2018, the carrying value of goodwill and trade names in the Physician Staffing reporting unit exceeded their fair values. As a result, the Company recorded impairment charges that incorporated fair value measurements based on Level 3 inputs.</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the second quarter of 2019, the Company eliminated certain of its brands as part of a rebranding strategy. and as a result, recorded impairment charges of $14.5 million related to its trade names in Nurse and Allied Staffing. See Note 7 - Goodwill, Trade Names, and Other Intangible Assets.</w:t>
      </w:r>
    </w:p>
    <w:p>
      <w:pPr>
        <w:spacing w:after="0" w:line="14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third quarter of 2019, the Company ceased use of several facilities and is in the process of seeking to sublet some of the space where possible. The decision and change in the use of space resulted in a right-of-use asset impairment charge of $1.2 million. This loss was determined by comparing the fair value of the impacted right-of-use assets to the carrying value of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ind w:right="40"/>
        <w:spacing w:after="0" w:line="302" w:lineRule="auto"/>
        <w:rPr>
          <w:sz w:val="20"/>
          <w:szCs w:val="20"/>
          <w:color w:val="auto"/>
        </w:rPr>
      </w:pPr>
      <w:r>
        <w:rPr>
          <w:rFonts w:ascii="Arial" w:cs="Arial" w:eastAsia="Arial" w:hAnsi="Arial"/>
          <w:sz w:val="16"/>
          <w:szCs w:val="16"/>
          <w:color w:val="auto"/>
        </w:rPr>
        <w:t xml:space="preserve">assets as of the impairment measurement date, in accordance with the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Topic of the FASB ASC. The fair value of the right-of-use asset was based on the estimated sublease income for the space taking into consideration the time period it will take to obtain a subtenant, the applicable discount rate, and the sublease rate. Furthermore, the Company wrote-off a total of $0.6 million of leasehold improvements and other property and equipment related to these locations. The measurement of the right-of-use asset impairments, using the assumptions described, is a level 3 measurement.</w:t>
      </w:r>
    </w:p>
    <w:p>
      <w:pPr>
        <w:spacing w:after="0" w:line="154"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Impairment charges on the condensed consolidated statement of operations include impairment of the trade names, the right-of-use assets, leasehold improvements, and property and equipment, and totaled $16.3 million for the nine months ended September 30,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gridSpan w:val="3"/>
          </w:tcPr>
          <w:p>
            <w:pPr>
              <w:ind w:left="780"/>
              <w:spacing w:after="0"/>
              <w:rPr>
                <w:sz w:val="20"/>
                <w:szCs w:val="20"/>
                <w:color w:val="auto"/>
              </w:rPr>
            </w:pPr>
            <w:r>
              <w:rPr>
                <w:rFonts w:ascii="Arial" w:cs="Arial" w:eastAsia="Arial" w:hAnsi="Arial"/>
                <w:sz w:val="18"/>
                <w:szCs w:val="18"/>
                <w:b w:val="1"/>
                <w:bCs w:val="1"/>
                <w:color w:val="auto"/>
                <w:w w:val="88"/>
              </w:rPr>
              <w:t>September 30, 2019</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2018</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Carrying</w:t>
            </w:r>
          </w:p>
        </w:tc>
        <w:tc>
          <w:tcPr>
            <w:tcW w:w="640" w:type="dxa"/>
            <w:vAlign w:val="bottom"/>
          </w:tcPr>
          <w:p>
            <w:pPr>
              <w:spacing w:after="0"/>
              <w:rPr>
                <w:sz w:val="18"/>
                <w:szCs w:val="18"/>
                <w:color w:val="auto"/>
              </w:rPr>
            </w:pPr>
          </w:p>
        </w:tc>
        <w:tc>
          <w:tcPr>
            <w:tcW w:w="13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4"/>
              </w:rPr>
              <w:t>Carrying</w:t>
            </w:r>
          </w:p>
        </w:tc>
        <w:tc>
          <w:tcPr>
            <w:tcW w:w="640" w:type="dxa"/>
            <w:vAlign w:val="bottom"/>
          </w:tcPr>
          <w:p>
            <w:pPr>
              <w:spacing w:after="0"/>
              <w:rPr>
                <w:sz w:val="18"/>
                <w:szCs w:val="18"/>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Amount</w:t>
            </w:r>
          </w:p>
        </w:tc>
        <w:tc>
          <w:tcPr>
            <w:tcW w:w="640" w:type="dxa"/>
            <w:vAlign w:val="bottom"/>
          </w:tcPr>
          <w:p>
            <w:pPr>
              <w:spacing w:after="0"/>
              <w:rPr>
                <w:sz w:val="20"/>
                <w:szCs w:val="20"/>
                <w:color w:val="auto"/>
              </w:rPr>
            </w:pPr>
          </w:p>
        </w:tc>
        <w:tc>
          <w:tcPr>
            <w:tcW w:w="13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7"/>
              </w:rPr>
              <w:t>Value</w:t>
            </w:r>
          </w:p>
        </w:tc>
        <w:tc>
          <w:tcPr>
            <w:tcW w:w="30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Amount</w:t>
            </w:r>
          </w:p>
        </w:tc>
        <w:tc>
          <w:tcPr>
            <w:tcW w:w="640" w:type="dxa"/>
            <w:vAlign w:val="bottom"/>
          </w:tcPr>
          <w:p>
            <w:pPr>
              <w:spacing w:after="0"/>
              <w:rPr>
                <w:sz w:val="20"/>
                <w:szCs w:val="20"/>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shd w:val="clear" w:color="auto" w:fill="CCEEFF"/>
              </w:rPr>
              <w:t>Financial 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4"/>
            <w:shd w:val="clear" w:color="auto" w:fill="CCEEFF"/>
          </w:tcPr>
          <w:p>
            <w:pPr>
              <w:ind w:left="44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70,556</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71,400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83,179</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has invested its excess cash in highly-rated overnight funds and other highly-rated liquid accounts. The Company is exposed to credit risk associated with these investments, as the cash balances typically exceed the current Federal Deposit Insurance Corporation (FDIC) limit of $250,000.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of invoice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680" w:firstLine="8"/>
        <w:spacing w:after="0" w:line="503" w:lineRule="auto"/>
        <w:tabs>
          <w:tab w:leader="none" w:pos="4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nine months ended September 30, 2019, the Company did not repurchase any shares of its Common Stock. During the nine months ended September 30, 2018, the Company repurchased and retired 432,439 shares of its Common Stock for $5.0 million, at an average market price of $11.54 per share, under an authorized share repurchase program.</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2019, the Company has 510,004 shares of Common Stock under the current share repurchase program available to repurchase, subject to certain conditions in the Company's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awards and performance stock awards activity issued under the 2017 Plan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589,120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365,149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837,099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192,939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(331,395)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(84,515)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(189,619)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12.25</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September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1,010,309</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368,469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Restricted stock awards granted under the Company’s 2017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and nine months ended September 30, 2019, $1.0 million and $2.5 million, respectively, was included in selling, general and administrative expenses related to share-based payments, and a net of 5,233 and 230,986 shares, respectively, of Common Stock were issued upon the vesting of restricted stock.</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and nine months ended September 30, 2018, $1.0 million and $2.4 million, respectively, was included in selling, general and administrative expenses related to share-based payments, and a net of 5,460 and 155,914 shares, respectively, of Common Stock were issued upon the vesting of restricted stock.</w:t>
      </w:r>
    </w:p>
    <w:p>
      <w:pPr>
        <w:spacing w:after="0" w:line="17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reports three business segments – Nurse and Allied Staffing, Physician Staffing, and Search. The Company manages and segments its business based on the services it offers to its customers as described below:</w:t>
      </w:r>
    </w:p>
    <w:p>
      <w:pPr>
        <w:spacing w:after="0" w:line="147" w:lineRule="exact"/>
        <w:rPr>
          <w:sz w:val="20"/>
          <w:szCs w:val="20"/>
          <w:color w:val="auto"/>
        </w:rPr>
      </w:pPr>
    </w:p>
    <w:p>
      <w:pPr>
        <w:ind w:left="660" w:right="2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total talent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United States.</w:t>
      </w:r>
    </w:p>
    <w:p>
      <w:pPr>
        <w:spacing w:after="0" w:line="188"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46"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includes retained and contingent search services for physicians, healthcare executives, and other healthcare professionals,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process outsourcing.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 defines contribution income as income or loss from operations before depreciation and amortization, acquisition and integration costs, acquisition-related contingent consideration, restructuring costs, legal settlement charges, impairment charges, and corporate overhead. Contribution income is a financial measure used by management when assessing segment performance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4" w:name="page25"/>
    <w:bookmarkEnd w:id="24"/>
    <w:p>
      <w:pPr>
        <w:ind w:right="200"/>
        <w:spacing w:after="0" w:line="259" w:lineRule="auto"/>
        <w:rPr>
          <w:sz w:val="20"/>
          <w:szCs w:val="20"/>
          <w:color w:val="auto"/>
        </w:rPr>
      </w:pPr>
      <w:r>
        <w:rPr>
          <w:rFonts w:ascii="Arial" w:cs="Arial" w:eastAsia="Arial" w:hAnsi="Arial"/>
          <w:sz w:val="18"/>
          <w:szCs w:val="18"/>
          <w:color w:val="auto"/>
        </w:rPr>
        <w:t xml:space="preserve">and is provided 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20"/>
                <w:szCs w:val="20"/>
                <w:color w:val="auto"/>
              </w:rPr>
            </w:pPr>
          </w:p>
        </w:tc>
        <w:tc>
          <w:tcPr>
            <w:tcW w:w="28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(amounts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184,974</w:t>
            </w:r>
          </w:p>
        </w:tc>
        <w:tc>
          <w:tcPr>
            <w:tcW w:w="14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175,945</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541,398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539,488</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20,407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21,158</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64,052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Search</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3,819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3,614</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12,037</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209,200</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200,717</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607,128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615,577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16,097</w:t>
            </w:r>
          </w:p>
        </w:tc>
        <w:tc>
          <w:tcPr>
            <w:tcW w:w="14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16,507</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46,504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50,064</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Search</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55,087</w:t>
            </w:r>
          </w:p>
        </w:tc>
      </w:tr>
      <w:tr>
        <w:trPr>
          <w:trHeight w:val="297"/>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10,937</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2,907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2,892</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8,764</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Legal settlement charges</w:t>
            </w:r>
          </w:p>
        </w:tc>
        <w:tc>
          <w:tcPr>
            <w:tcW w:w="42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1,804</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11,235</w:t>
            </w:r>
          </w:p>
        </w:tc>
      </w:tr>
      <w:tr>
        <w:trPr>
          <w:trHeight w:val="20"/>
        </w:trPr>
        <w:tc>
          <w:tcPr>
            <w:tcW w:w="4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60"/>
        <w:spacing w:after="0" w:line="264" w:lineRule="auto"/>
        <w:rPr>
          <w:sz w:val="20"/>
          <w:szCs w:val="20"/>
          <w:color w:val="auto"/>
        </w:rPr>
      </w:pPr>
      <w:r>
        <w:rPr>
          <w:rFonts w:ascii="Arial" w:cs="Arial" w:eastAsia="Arial" w:hAnsi="Arial"/>
          <w:sz w:val="18"/>
          <w:szCs w:val="18"/>
          <w:color w:val="auto"/>
        </w:rPr>
        <w:t>In the second quarter of 2019, the Company merged its permanent search recruitment brands. As a result, for the three and nine months ended September 30, 2018, $0.4 million and $1.3 million of revenue, respectively, and less than $0.1 million and $0.1 million contribution income, respectively, were reclassified from Nurse and Allied Staffing to Search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spacing w:after="0"/>
        <w:tabs>
          <w:tab w:leader="none" w:pos="400" w:val="left"/>
        </w:tabs>
        <w:rPr>
          <w:sz w:val="20"/>
          <w:szCs w:val="20"/>
          <w:color w:val="auto"/>
        </w:rPr>
      </w:pPr>
      <w:r>
        <w:rPr>
          <w:rFonts w:ascii="Arial" w:cs="Arial" w:eastAsia="Arial" w:hAnsi="Arial"/>
          <w:sz w:val="18"/>
          <w:szCs w:val="18"/>
          <w:b w:val="1"/>
          <w:bCs w:val="1"/>
          <w:color w:val="auto"/>
        </w:rPr>
        <w:t>14.</w:t>
        <w:tab/>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In the second quarter of 2019, the Company recorded $1.6 million in legal settlement charges related to the resolution of a medical malpractice lawsuit, as well as a 2019 California wage and hour class action settlement agreement which remains subject to court approval. The Company believes the outcome of any outstanding loss contingencies as of September 30, 2019 will not have a material adverse effect on its business, financial condition, results of operations or cash flows. In October 2019, the Company received a grand jury subpoena directed to Advantage On Call whose assets were purchased by Cross Country Healthcare, Inc. in 2017. The subpoena appears to relate to an investigation of home healthcare services and healthcare staffing services. The Company is cooperating with the investigation.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Non-income tax expense is included in selling, general and administrative expenses on its condensed consolidated statements of operations and the liability is reflected in other current liabilities as of September 30, 2019 and December 31, 2018, on its condensed consolidated balance sheets.</w:t>
      </w:r>
    </w:p>
    <w:p>
      <w:pPr>
        <w:spacing w:after="0" w:line="16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For the three and nine months ended September 30, 2019, the Company calculated its effective tax rate based on year-to-date results, pursuant to the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Topic of the FASB ASC, as opposed to estimating its annual effective tax rate. For the three and nine months ended September 30, 2018,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its annual effective tax rate and applied that rate to year-to-date results. The Company’s effective tax rate for the three and nine months ended September 30, 2019 was negative 3.6% and negative 135.5%, respectively, including the impact of discrete items. Excluding discrete items, the Company’s effective tax rate for the three and nine months ended September 30, 2019 was a negative 7.0% and 2.6%, respectively. The effective tax rate for the three months ended September 30, 2019 was primarily impacted by international and state taxes while the effective tax rate for the nine months ended September 30, 2019 was primarily impacted by the additional valuation allowance, impairment of indefinite-lived intangibles, and international and state taxes.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second quarter of 2019, management assessed the available positive and negative evidence to estimate whether sufficient future taxable income will be generated to permit use of the Company's existing deferred tax assets. A significant piece of objective negative evidence evaluated was the cumulative loss incurred over the three-year period ended June 30, 2019. On the basis of this evaluation, an additional valuation allowance of $36.0 million was recorded ($35.8 million of which was recorded as income tax expense and $0.2 million as a reduction of other comprehensive income) to reduce the portion of the deferred tax asset that is not more likely than not to be realized.</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intends to maintain a valuation allowance until sufficient positive evidence exists to support its reversal. As of September 30, 2019 and December 31, 2018, the Company had valuation allowances of $37.7 million and $1.2 million, respectively. The September 30, 2019 valuation allowance applied to all domestic deferred tax assets other than certain deferred tax assets expected to be realized. The December 31, 2018 valuation allowance applied to the uncertainty of the realization of certain state net operating losses.</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2019, the Company had approximately $0.7 million of unrecognized tax benefits included in other long-term liabilities ($5.7 million, net of deferred taxes, which would affect the effective tax rate if recognized). During the three months ended September 30, 2019, the Company reduced its unrecognized tax benefits by $0.9 million related to statute of limit expirations and a change in expected tax resolutions, the majority of which was offset by valuation allowance. For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4" w:right="259" w:bottom="1440" w:gutter="0" w:footer="0" w:header="0"/>
        </w:sectPr>
      </w:pPr>
    </w:p>
    <w:bookmarkStart w:id="26" w:name="page27"/>
    <w:bookmarkEnd w:id="26"/>
    <w:p>
      <w:pPr>
        <w:ind w:right="160"/>
        <w:spacing w:after="0" w:line="277" w:lineRule="auto"/>
        <w:rPr>
          <w:sz w:val="20"/>
          <w:szCs w:val="20"/>
          <w:color w:val="auto"/>
        </w:rPr>
      </w:pPr>
      <w:r>
        <w:rPr>
          <w:rFonts w:ascii="Arial" w:cs="Arial" w:eastAsia="Arial" w:hAnsi="Arial"/>
          <w:sz w:val="18"/>
          <w:szCs w:val="18"/>
          <w:color w:val="auto"/>
        </w:rPr>
        <w:t>nine months ended September 30, 2019, the Company had gross decreases of $0.1 million to its current year unrecognized tax benefits related to federal and state tax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2018 remain open to examination by certain taxing jurisdictions to which the Company is subject to tax.</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provides services to entities which are affiliated with certain members of the Company’s Board of Directors. Management believes such services were conducted on terms equivalent to those prevailing in an arm's-length transaction. Revenue related to these transactions was $0.1 million for both the three and nine months ended September 30, 2019, and less than $0.1 million for both the three and nine months ended September 30, 2018. Accounts receivable due from these entities at September 30, 2019 and December 31, 2018 was less than $0.1 million.</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has a 68% ownership interest in Cross Country Talent Acquisition Group, LLC, a joint venture between the Company and a hospital system. The Company generated revenue providing staffing services to the hospital system of $6.3 million and $18.2 million for the three and nine months ended September 30, 2019, respectively, and $5.4 million and $14.5 million for the three and nine months ended September 30, 2018, respectively. At September 30, 2019 and December 31, 2018, the Company had a receivable balance of $2.9 million and $2.8 million, respectively, and a payable balance of $0.4 million and $0.3 million, respectively.</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and $0.3 million, respectively, in rent expense for these premises for the three and nine months ended September 30, 2018. In the fourth quarter of 2018, the Company vacated the premises.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RECENT ACCOUNTING PRONOUNCEMENTS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The amendments in this update modify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based on the concepts in the Concepts Statement, including the consideration of costs and benefits. The amendments in this update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entities for fiscal years, and interim periods within those fiscal years, beginning after December 15, 2019, and should be applied either prospectively or retrospectively depending on the nature of the disclosure. An entity is permitted to early adopt any removed or modified disclosures upon issuance of this update and delay adoption of the additional disclosures until their effective date. The Company is currently in the process of evaluating this standard and expects to adopt the full provisions in its first quarter of 2020.</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amendments in this update require a financial asset (or a group of financial assets) measured at amortized cost basis to be presented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net amount expected to be collected based on historical experience, current conditions, and reasonable supportable forecasts. The amendments in this update are effective for public business entities for fiscal years, and interim periods within those fiscal years, beginning after December 15, 2019, with early adoption permitted no sooner than the first quarter of 2019. A modified retrospective approach is required for all investments, except debt securities for which an other-than-temporary impairment had been recognized prior to the effective date, which will require a prospective transition approach and should be applied either prospectively or retrospectively depending on the nature of the disclosure. The Company is currently in the process of evaluating this standard and expects to adopt the full provisions in its first quarter of 2020.</w:t>
      </w:r>
    </w:p>
    <w:p>
      <w:pPr>
        <w:spacing w:after="0" w:line="1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October 2019, the Company's senior credit facility was replaced by a new $120.0 million senior secured asset-based credit facility (ABL). The ABL provides for a five-year revolving credit facility, including a sublimit for swing loans up to $15.0 million and a $35.0 million sublimit for standby letters of credit. Availability under the ABL is subject to a borrowing base, which was $119.3 million at closing. See Note 8 - Debt.</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7" w:name="page28"/>
    <w:bookmarkEnd w:id="27"/>
    <w:p>
      <w:pPr>
        <w:ind w:right="26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for the year ended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provide healthcare staffing, recruiting and total talent solutions to our customers through a network of 65 office locations throughout the United States. Our services include placing clinicians on travel and per diem assignments, local short-term contracts, and permanent positions. In addition, we offer flexible workforce management solutions to our customers including: managed service programs (MSP), education healthcare, as well as recruitment process outsourcing (RPO), and other outsourcing and value-added services as described in Item 1. Business in our Annual Report on Form 10-K for the year ended December 31, 2018. In addition, we provide both retained and contingent placement services for healthcare executives, physicians, and other healthcare professionals.</w:t>
      </w:r>
    </w:p>
    <w:p>
      <w:pPr>
        <w:spacing w:after="0" w:line="19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We manage and segment our business based on the nature of the services we offer to our customers. As a result,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report three business segments – Nurse and Allied Staffing, Physician Staffing, and Search.</w:t>
      </w:r>
    </w:p>
    <w:p>
      <w:pPr>
        <w:spacing w:after="0" w:line="147" w:lineRule="exact"/>
        <w:rPr>
          <w:sz w:val="20"/>
          <w:szCs w:val="20"/>
          <w:color w:val="auto"/>
        </w:rPr>
      </w:pPr>
    </w:p>
    <w:p>
      <w:pPr>
        <w:ind w:left="660" w:right="260" w:hanging="328"/>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Nurse and Allied Staffing represented approximately 88% of our total revenue in the third quarter of 2019. Nurse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Allied Staffing provides traditional staffing, recruiting, and value-added total talent solutions including: temporary and permanent placement of travel and local branch-based nurse and allied professionals, MSP services, education healthcare services, and outsourcing services.</w:t>
      </w:r>
    </w:p>
    <w:p>
      <w:pPr>
        <w:spacing w:after="0" w:line="146"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10% of our total revenue in the third quarter of 2019.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18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represented approximately 2% of our total revenue in the third quarter of 2019. Search includes retained and contingent search</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physicians, healthcare executives, and other healthcare professionals, as well as RPO.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quarter ended September 30, 2019, revenue from services increased 4% year-over-year to $209.2 million, driven primarily by higher volumes. Profitability was impacted by higher compensation costs which drove lower bill-pay spreads. Profitability in the third quarter was also impacted by restructuring activities that resulted in additional restructuring charges of $1.6 million and impairment charges of $1.8 million, primarily related to leased space we expect to sublease. In addition, we recognized a loss on derivative for the early termination of an interest rate swap of $1.3 million in anticipation of the expected refinancing of our senior credit facility in the fourth quarter. Net loss attributable to common shareholders was $3.1 million, or a loss of $0.09 per share.</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nine months ended September 30, 2019, we generated cash flow from operating activities of $10.9 million and made optional debt prepayments of $12.5 million on our Term Loan. As of September 30, 2019, we had $9.5 million of cash and cash equivalents and a principal balance of $71.4 million outstanding on our Term Loan, and there were no amounts drawn on our revolving credit facility. In October 2019, our senior credit facility was replaced by a new $120.0 million senior secured asset-based credit facility (ABL). See Note 8 - Debt to our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Some of the segment financial results analyzed include revenue, operating expenses, and contribution income. In addition, we monitor cash flow as well as operating and leverage ratios to help us assess our liquidity needs.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Staffing revenue per FTE by the number of days worked in the respective periods.</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placement of nurses.</w:t>
            </w:r>
          </w:p>
        </w:tc>
      </w:tr>
      <w:tr>
        <w:trPr>
          <w:trHeight w:val="47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rPr>
              <w:t>Days filled is calculated by dividing the total hours invoiced during the period,</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including an estimate for the impact of accrued revenue, by 8 hours.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Revenue per day filled is calculated by dividing revenue as reported by days filled for</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the period presented.</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2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220" w:type="dxa"/>
            <w:vAlign w:val="bottom"/>
          </w:tcPr>
          <w:p>
            <w:pPr>
              <w:spacing w:after="0"/>
              <w:rPr>
                <w:sz w:val="23"/>
                <w:szCs w:val="23"/>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3"/>
                <w:szCs w:val="23"/>
                <w:color w:val="auto"/>
              </w:rPr>
            </w:pPr>
          </w:p>
        </w:tc>
      </w:tr>
      <w:tr>
        <w:trPr>
          <w:trHeight w:val="27"/>
        </w:trPr>
        <w:tc>
          <w:tcPr>
            <w:tcW w:w="5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74.2</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2080" w:type="dxa"/>
            <w:vAlign w:val="bottom"/>
            <w:tcBorders>
              <w:bottom w:val="single" w:sz="8" w:color="CCEEFF"/>
            </w:tcBorders>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 charges</w:t>
            </w:r>
          </w:p>
        </w:tc>
        <w:tc>
          <w:tcPr>
            <w:tcW w:w="2080" w:type="dxa"/>
            <w:vAlign w:val="bottom"/>
            <w:tcBorders>
              <w:bottom w:val="single" w:sz="8" w:color="CCEEFF"/>
            </w:tcBorders>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derivative</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80" w:type="dxa"/>
            <w:vAlign w:val="bottom"/>
            <w:tcBorders>
              <w:bottom w:val="single" w:sz="8" w:color="CCEEFF"/>
            </w:tcBorders>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80" w:type="dxa"/>
            <w:vAlign w:val="bottom"/>
            <w:tcBorders>
              <w:bottom w:val="single" w:sz="8" w:color="CCEEFF"/>
            </w:tcBorders>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Consolidated net (loss) income</w:t>
            </w: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Less: Net income attributable to noncontrolling interest in subsidiary</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0.4 %</w:t>
            </w:r>
          </w:p>
        </w:tc>
      </w:tr>
      <w:tr>
        <w:trPr>
          <w:trHeight w:val="20"/>
        </w:trPr>
        <w:tc>
          <w:tcPr>
            <w:tcW w:w="5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78"/>
        </w:trPr>
        <w:tc>
          <w:tcPr>
            <w:tcW w:w="5220" w:type="dxa"/>
            <w:vAlign w:val="bottom"/>
          </w:tcPr>
          <w:p>
            <w:pPr>
              <w:spacing w:after="0"/>
              <w:rPr>
                <w:sz w:val="24"/>
                <w:szCs w:val="24"/>
                <w:color w:val="auto"/>
              </w:rPr>
            </w:pPr>
          </w:p>
        </w:tc>
        <w:tc>
          <w:tcPr>
            <w:tcW w:w="1440" w:type="dxa"/>
            <w:vAlign w:val="bottom"/>
          </w:tcPr>
          <w:p>
            <w:pPr>
              <w:jc w:val="right"/>
              <w:ind w:right="77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Comparison of Results for the Three Months Ended September 30, 2019 compared to the Three Months Ended September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9,039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Loss on derivative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68.2 %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33.4 %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increased 4.2%, to $209.2 million for the three months ended September 30, 2019, as compared to $200.7 million for the three months ended September 30, 2018, primarily driven by higher revenue from Nurse and Allied Staffing due to an increase in volume.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related insurance expenses. Direct operating expenses increased $9.0 million or 6.1%, to $158.2 million for the three months ended September 30, 2019, as compared to $149.2 million for the three months ended September 30, 2018. As a percentage of total revenue, direct operating expenses increased to 75.6% compared to 74.3% in the prior year period primarily due to higher compensation in Nurse and Allied Staffing driving a lower bill-pay spread.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Selling, general and administrative expenses increased 0.7%, to $44.4 million for the three months ended September 30, 2019, as compared to $44.1 million for the three months ended September 30, 2018. As a percentage of total revenue, selling, general and administrative expenses decreased to 21.2% for the three months ended September 30, 2019 as compared to 22.0% for the three months ended September 30,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Depreciation and amortization expense was $2.9 million for both the three months ended September 30, 2019 and 2018. The acceleration of amortization on the trade names related to our Physician Staffing business segment was offset by lower depreciation expense due to write-offs and fully amortized property and equipment. See Note 7 - Goodwill, Trade Names, and Other Intangible Assets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Acquisition-related contingent consideration includes accretion and valuation adjustments on our contingent consideration liabilities, substantially related to the Mediscan acquisition, and was a benefit of $0.4 million for the three months ended September 30, 2019 and less than $0.1 million for the three months ended September 30, 2018. See Note 11 - Fair Value Measurements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Restructuring costs were primarily comprised of employee termination costs and lease-related exit costs, and totaled $1.6 million and $1.4 million during the three months ended September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During the three months ended September 30, 2019, in connection with our restructuring activities we ceased using leased space which resulted in an evaluation of related long-lived assets pursuant to the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of the FASB ASC. The evaluation resulted in impairment charges related to our right-of-use assets of $1.2 million and $0.6 million of impairment related to property and equipment. There were no similar charges for the three months ended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Interest expense was $1.4 million for the three months ended September 30, 2019 as compared to $1.5 million for the three months ended September 30, 2018. The impact of lower average borrowings was offset by a higher effective rate. The effective interest rate on our term loan borrowings increased to 6.4% for the three month period ended September 30, 2019 compared to 5.3% for the three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derivative</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Loss on derivative was $1.3 million for the three months ended September 30, 2019, which was paid to terminate an interest rate hedge related to our term loan that was subsequently refinanced in October 2019. There were no similar charges for the three months ended September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Loss on early extinguishment of debt of $0.1 million for the three months ended September 30, 2019 related to write-offs of debt issuance costs resulting from a reduction in borrowing capacity on our revolving credit facility. Loss on early extinguishment of debt was not material for the three months ended September 30, 2018 and related to the optional prepayment of $5.0 million made on our Amended Term Loan on September 28,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Income tax expense totaled $0.1 million for the three months ended September 30, 2019, compared to $1.4 million for the three months ended September 30, 2018. Income tax expense for the three months ended September 30, 2019 was primarily impacted by international and state taxes. Income tax expense for the three months ended September 30, 2018 was primarily impacted by the non-deductibility of certain per diem expenses, the officers’ compensation limitation, and international and state taxes. See Note 15 -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Comparison of Results for the Nine Months Ended September 30, 2019 compared to the Nine Months Ended September 30, 2018</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15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Increase</w:t>
            </w:r>
          </w:p>
        </w:tc>
      </w:t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70"/>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(Amounts in thousands)</w:t>
            </w:r>
          </w:p>
        </w:tc>
        <w:tc>
          <w:tcPr>
            <w:tcW w:w="150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456,280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456,573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45.7 %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settlement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derivative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(30,846)</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(420.1)%</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28,123</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756.6 %</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Consolidated net (loss)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(58,969)</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r>
      <w:tr>
        <w:trPr>
          <w:trHeight w:val="257"/>
        </w:trPr>
        <w:tc>
          <w:tcPr>
            <w:tcW w:w="546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shareholders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(59,309)</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from services decreased 1.4%, to $607.1 million for the nine months ended September 30, 2019, as compared to $615.6 million for the nine months ended September 30, 2018, due to lower volume in our Physician Staffing and Search businesses, partially offset by an increase in volume in our Nurse and Allied Staffing business.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Direct operating expenses decreased $0.3 million or 0.1%, to $456.3 million for the nine months ended September 30, 2019, as compared to $456.6 million for the nine months ended September 30, 2018. As a percentage of total revenue, direct operating expenses increased to 75.1% compared to 74.2% in the prior year period primarily due to a lower bill-pay spread in our Nurse and Allied staffing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increased 1.0%, to $136.4 million for the nine months ended September 30, 2019, as compared to $135.0 million for the nine months ended September 30, 2018, due to higher healthcare costs, consulting and other professional service fees, and candidate attraction-related expenses, partially offset by our cost savings initiatives. The main driver for the increase in consulting fees was related to costs incurred in connection with the replacement of our applicant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75" w:right="259" w:bottom="1440" w:gutter="0" w:footer="0" w:header="0"/>
        </w:sectPr>
      </w:pPr>
    </w:p>
    <w:bookmarkStart w:id="33" w:name="page34"/>
    <w:bookmarkEnd w:id="33"/>
    <w:p>
      <w:pPr>
        <w:ind w:right="220"/>
        <w:spacing w:after="0" w:line="277" w:lineRule="auto"/>
        <w:rPr>
          <w:sz w:val="20"/>
          <w:szCs w:val="20"/>
          <w:color w:val="auto"/>
        </w:rPr>
      </w:pPr>
      <w:r>
        <w:rPr>
          <w:rFonts w:ascii="Arial" w:cs="Arial" w:eastAsia="Arial" w:hAnsi="Arial"/>
          <w:sz w:val="18"/>
          <w:szCs w:val="18"/>
          <w:color w:val="auto"/>
        </w:rPr>
        <w:t>tracking system for our travel nurse business. As a percentage of total revenue, selling, general and administrative expenses increased to 22.5% for the nine months ended September 30, 2019 as compared to 21.9% for the nine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Depreciation and amortization expense increased to $9.4 million for the nine months ended September 30, 2019 from $8.8 million for the nine months ended September 30, 2018. The increase is due to accelerated amortization of trade names of $0.9 million associated with our rebranding initiatives, partly offset by lower depreciation expense related to fully amortized assets that have not been replaced. See Note 7 - Goodwill, Trade Names, and Other Intangible Assets and Note 11 - Fair Value Measurements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Acquisition-related contingent consideration for the nine months ended September 30, 2019 was $0.1 million and included accretion and valuation adjustments on our contingent consideration liabilities related to the Mediscan acquisition. Acquisition-related contingent consideration for the nine months ended September 30, 2018 was $0.4 million and substantially related to the Mediscan acquisition. In the third quarter of 2018, we determined that the contingent consideration earnout for USR would not be achieved and the entire liability was reversed. See Note 11 - Fair Value Measurements to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 and integration costs was $0.3 million for both the nine months ended September 30, 2019 and 2018, and related to prior acquisitions. These costs also included expenses incurred for potential transactions for the nine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Restructuring costs were primarily comprised of employee termination costs and lease-related exit costs, and totaled $2.9 million and $2.0 million during the nine months ended September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Legal settlement charges totaled $1.6 million during the nine months ended September 30, 2019 and related to the resolution of a medical malpractice lawsuit, as well as a California wage and hour class action settlement agreement. There were no similar charges for the nine months ended September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During the three months ended September 30, 2019, in connection with our restructuring activities we ceased using leased space which resulted in an evaluation of related long-lived assets pursuant to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Topic of the FASB ASC. The evaluation resulted in impairment charges related to our right-of-use assets of $1.2 million and $0.6 million of impairment related to property and equipment. In addition, as part of evolving our go-to-market strategy, in the second quarter of 2019, we eliminated certain brands across all of our segments as part of our rebranding initiatives and, as a result, $14.5 million of indefinite-lived trade names related to Nurse and Allied Staffing were written off as impairment charges. There were no similar charges for the nine months ended September 30, 2018. See Note 7 - Goodwill, Trade Names, and Other Intangible Assets and Note 11 - Fair Value Measurements to our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Interest expense was $4.3 million for the nine months ended September 30, 2019, as compared to $4.2 million for the nine months ended September 30, 2018. The effective interest rate on our term loan borrowings increased to 6.2% for the nine month period ended September 30, 2019 compared to 4.9% for the nine months ended September 30, 2018. The impact of higher average interest rates was partly offset by lower average borrowings in the nine months ended September 30, 2019 due to optional debt prepayments on the Term Loan. See Note 8 - Debt to our condensed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Loss on derivative</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Loss on derivative was $1.3 million for the nine months ended September 30, 2019, which was paid to terminate an interest rate hedge related to our term loan that was subsequently refinanced in October 2019. There were no similar charges for the nine months ended September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Loss on early extinguishment of debt of $0.5 million for the nine months ended September 30, 2019 related to write-offs of debt issuance costs resulting from a reduction in borrowing capacity on our revolving credit facility, as well as optional debt prepayments of $12.5 million made on our Term Loan. Loss on early extinguishment of debt was not material for the nine months ended September 30, 2018 and related to the optional prepayment of $5.0 million made on our Amended Term Loan on September 28,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Income tax expense totaled $31.8 million and $3.7 million for the nine months ended September 30, 2019 and 2018, respectively. Income tax expense for the nine months ended September 30, 2019 included $35.8 million of additional valuation allowance recorded as a discrete item, and was also impacted by international and state taxes as well as the impairment of indefinite-lived intangibles. Income tax expense for the nine months ended September 30, 2018 was primarily impacted by the non-deductibility of certain per diem expenses, the officers’ compensation limitation, and international and state taxes.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184,974</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175,945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541,398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539,488</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64,052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Search</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3,614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12,037</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209,200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200,717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607,128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615,577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16,097</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16,507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46,504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50,064</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Search</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55,087</w:t>
            </w:r>
          </w:p>
        </w:tc>
      </w:tr>
      <w:tr>
        <w:trPr>
          <w:trHeight w:val="324"/>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overhead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32,399</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8,764</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Legal settlement charges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2,645</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11,235</w:t>
            </w: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2019, the Company merged its permanent search recruitment brands. As a result, for the three and nine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5" w:name="page36"/>
    <w:bookmarkEnd w:id="35"/>
    <w:p>
      <w:pPr>
        <w:ind w:right="140"/>
        <w:spacing w:after="0" w:line="277" w:lineRule="auto"/>
        <w:rPr>
          <w:sz w:val="20"/>
          <w:szCs w:val="20"/>
          <w:color w:val="auto"/>
        </w:rPr>
      </w:pPr>
      <w:r>
        <w:rPr>
          <w:rFonts w:ascii="Arial" w:cs="Arial" w:eastAsia="Arial" w:hAnsi="Arial"/>
          <w:sz w:val="18"/>
          <w:szCs w:val="18"/>
          <w:color w:val="auto"/>
        </w:rPr>
        <w:t>months ended September 30, 2018, certain revenue and contribution income amounts were reclassified from Nurse and Allied Staffing to Search to conform to the current period presentation. See Note 13 - Segment Data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Nurse and Allied Staffing statistical data:</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8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FTEs</w:t>
            </w:r>
          </w:p>
        </w:tc>
        <w:tc>
          <w:tcPr>
            <w:tcW w:w="210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7,083</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6,953</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130</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0"/>
              </w:rPr>
              <w:t>Physician Staffing statistical data:</w:t>
            </w:r>
          </w:p>
        </w:tc>
        <w:tc>
          <w:tcPr>
            <w:tcW w:w="2600" w:type="dxa"/>
            <w:vAlign w:val="bottom"/>
            <w:tcBorders>
              <w:bottom w:val="single" w:sz="8" w:color="CCEEFF"/>
            </w:tcBorders>
            <w:gridSpan w:val="4"/>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6"/>
          </w:tcPr>
          <w:p>
            <w:pPr>
              <w:ind w:left="20"/>
              <w:spacing w:after="0"/>
              <w:rPr>
                <w:sz w:val="20"/>
                <w:szCs w:val="20"/>
                <w:color w:val="auto"/>
              </w:rPr>
            </w:pPr>
            <w:r>
              <w:rPr>
                <w:rFonts w:ascii="Arial" w:cs="Arial" w:eastAsia="Arial" w:hAnsi="Arial"/>
                <w:sz w:val="16"/>
                <w:szCs w:val="16"/>
                <w:color w:val="auto"/>
              </w:rPr>
              <w:t>Days filled</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11,675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13,375</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507"/>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Nine Months Ended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6"/>
          </w:tcPr>
          <w:p>
            <w:pPr>
              <w:ind w:left="20"/>
              <w:spacing w:after="0"/>
              <w:rPr>
                <w:sz w:val="20"/>
                <w:szCs w:val="20"/>
                <w:color w:val="auto"/>
              </w:rPr>
            </w:pPr>
            <w:r>
              <w:rPr>
                <w:rFonts w:ascii="Arial" w:cs="Arial" w:eastAsia="Arial" w:hAnsi="Arial"/>
                <w:sz w:val="16"/>
                <w:szCs w:val="16"/>
                <w:color w:val="auto"/>
              </w:rPr>
              <w:t>FTEs</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7,039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7,187</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3"/>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32,709</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41,611</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(8,902)</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(21.4)%</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98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1,539</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33"/>
        </w:trPr>
        <w:tc>
          <w:tcPr>
            <w:tcW w:w="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September 30, 2019 compared to the Three Months Ended September 30,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Revenue from Nurse and Allied Staffing increased $9.1 million, or 5.1%, to $185.0 million for the three months ended September 30, 2019, compared to</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$175.9 million for the three months ended September 30, 2018, primarily due to higher volume and demand in travel staffing, partly related to an increase in demand from our MSPs, and modest price increases.</w:t>
      </w:r>
    </w:p>
    <w:p>
      <w:pPr>
        <w:spacing w:after="0" w:line="18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Contribution income from Nurse and Allied Staffing decreased $0.4 million or 2.5%, to $16.1 million for the three months ended September 30, 2019, compared to $16.5 million for the three months ended September 30, 2018, primarily due to a lower bill-pay spread. As a percentage of segment revenue, contribution income margin was 8.7% for the three months ended September 30, 2019, compared to 9.4% for the three months ended September 30, 2018.</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average number of Nurse and Allied Staffing FTEs on contract during the three months ended September 30, 2019 increased 1.9% from the three months ended September 30, 2018. The average Nurse and Allied Staffing revenue per FTE per day increased 3.3%, reflecting higher average bill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Revenue from Physician Staffing decreased $0.8 million, or 3.5%, to $20.4 million for the three months ended September 30, 2019, compared to $21.2 million for the three months ended September 30, 2018, primarily due to a lower number of days filled, partially offset by higher bill rates primarily due to mix. Revenue and days filled in the third quarter of 2019 increased 13.2% and 8.6%, respectively, from the second quarter of 2019.</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Contribution income from Physician Staffing decreased $0.5 million, or 37.9% to $0.8 million for the three months ended September 30, 2019, compared to $1.3 million for the three months ended September 30, 2018. As a percentage of segment</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584" w:right="259" w:bottom="1440" w:gutter="0" w:footer="0" w:header="0"/>
          <w:type w:val="continuous"/>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auto"/>
        </w:rPr>
        <w:t>revenue, contribution income was 4.0% for the three months ended September 30, 2019, compared to 6.2% for the three months ended September 30, 2018, primarily driven by lower revenue.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days filled for Physician Staffing for the three months ended September 30, 2019 were 11,675 as compared with 13,375 in the prior year. Revenue per day filled was $1,748 as compared with $1,582 in the prior year, due to a shift in the mix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from Search increased $0.2 million, or 5.7%, to $3.8 million for the three months ended September 30, 2019, compared to $3.6 million for the three months ended September 30, 2018, due to an increase in physician placements.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Contribution income from Search was $0.1 million for both the three months ended September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Corporate overhead includes unallocated executive leadership and other centralized corporate functional support costs such as finance, IT, legal, human resources, and marketing, as well as public company expenses and corporate-wide projects (initiatives). Corporate overhead increased to $11.0 million for the three months ended September 30, 2019, from $10.9 million for the three months ended September 30, 2018. As a percentage of consolidated revenue, corporate overhead was 5.2% for the three months ended September 30, 2019 and 5.4% for the three months ended September 30, 2018.</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Nine Months Ended September 30, 2019 compared to the Nine Months Ended September 30,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Revenue from Nurse and Allied Staffing increased $1.9 million, or 0.4%, to $541.4 million for the nine months ended September 30, 2019, compared to</w:t>
      </w:r>
    </w:p>
    <w:p>
      <w:pPr>
        <w:spacing w:after="0" w:line="3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$539.5 million for the nine months ended September 30, 2018, primarily due to higher average bill rates partly offset by lower volume. Volume declines in local staffing were partially offset by increases in travel allied and education healthcare staffing. Our bill rates benefited from a higher mix of premium rate business.</w:t>
      </w:r>
    </w:p>
    <w:p>
      <w:pPr>
        <w:spacing w:after="0" w:line="190"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Contribution income from Nurse and Allied Staffing decreased $3.6 million or 7.1%, to $46.5 million for the nine months ended September 30, 2019, compared to $50.1 million for the nine months ended September 30, 2018, primarily due to a lower bill-pay spread in travel nurse and travel allied. As a percentage of segment revenue, contribution income margin was 8.6% for the nine months ended September 30, 2019, compared to 9.3% for the nine months ended September 30, 2018.</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average number of Nurse and Allied Staffing FTEs on contract during the nine months ended September 30, 2019 decreased 2.1% from the nine months ended September 30, 2018. The average Nurse and Allied Staffing revenue per FTE per day increased 2.5%, reflecting higher average bill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Revenue from Physician Staffing decreased $9.5 million, or 14.8%, to $54.6 million for the nine months ended September 30, 2019, compared to $64.1 million for the nine months ended September 30, 2018, primarily due to a lower number of days filled, partially offset by higher bill rates due to mix.</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Contribution income from Physician Staffing decreased $2.5 million, or 58.9% to $1.7 million for the nine months ended September 30, 2019, compared to $4.2 million for the nine months ended September 30, 2018. As a percentage of segment revenue, contribution income was 3.2% for the nine months ended September 30, 2019, compared to 6.5% for the nine months ended September 30, 2018, driven by lower revenue, partially offset by lower selling, general and administrative expenses.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days filled for Physician Staffing for the nine months ended September 30, 2019 were 32,709 as compared with 41,611 in the prior year. Revenue per day filled was $1,669 as compared with $1,539 in the prior year, due to a shift in the mix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4"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Revenue from Search decreased $0.9 million, or 7.5%, to $11.1 million for the nine months ended September 30, 2019, compared to $12.0 million for the nine months ended September 30, 2018, due to a decline in physician searches, partly offset by an increase in executive search placements.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Contribution loss from Search for the nine months ended September 30, 2019 was $0.5 million, compared to income for the nine months ended September 30, 2018 of $0.8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Corporate overhead increased to $34.7 million for the nine months ended September 30, 2019, from $32.4 million for the nine months ended September 30, 2018, primarily due to higher consulting and other professional service fees, partly offset by the impact of our cost savings initiatives. The higher consulting fees are related to the project to replace our applicant tracking system for our travel nurse business. As a percentage of consolidated revenue, corporate overhead was 5.7% for the nine months ended September 30, 2019 and 5.3% for the nine months ended September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At September 30, 2019, we had $9.5 million in cash and cash equivalents and $71.4 million of principal balance on our Term Loan outstanding. Working capital decreased by $13.3 million to $96.2 million as of September 30, 2019, compared to $109.5 million as of December 31, 2018. As of September 30, 2019, our days' sales outstanding, net of amounts owed to subcontractors, was 58 days representing a 4 day improvement from December 31, 2018.</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provided by operating activities was $10.9 million in the nine months ended September 30, 2019, compared to $21.8 million in the nine months ended September 30, 2018, primarily due to lower collections and the timing of payments.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investing activities was $2.0 million in the nine months ended September 30, 2019, compared to $3.6 million in the nine months ended September 30, 2018. Net cash used in both periods was for capital expenditures, and for acquisition-related settlements in the nine months ended September 30, 2018. Capital expenditures in the nine months ended September 30, 2019 were primarily related to the project to replace our applicant tracking system for our travel nurse business.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financing activities during the nine months ended September 30, 2019 was $15.4 million, compared to $15.6 million during the nine months ended September 30, 2018. During the nine months ended September 30, 2019, we used cash to make optional debt prepayments on our term loan of $12.5 million and paid $2.9 million for other financing activities. During the nine months ended September 30, 2018, we used cash to repurchase and retire $5.0 million in shares of Common Stock, repay $8.8 million on our Term Loan, and pay $1.8 million for other financing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Facility</w:t>
      </w:r>
    </w:p>
    <w:p>
      <w:pPr>
        <w:spacing w:after="0" w:line="2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During the first and second quarters of 2019, we made optional debt prepayments of $7.5 million and $5.0 million, respectively, on the term loan portion of our Amended and Restated Credit Facility. In addition, in the first quarter and on September 30, 2019, respectively, we entered into a Second Amendment and Third Amendment to our Amended and Restated Credit Facility. We were in compliance with the covenants related to the Amended and Restated Credit Agreement as of September 30,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8" w:name="page39"/>
    <w:bookmarkEnd w:id="38"/>
    <w:p>
      <w:pPr>
        <w:jc w:val="both"/>
        <w:ind w:right="120"/>
        <w:spacing w:after="0" w:line="286" w:lineRule="auto"/>
        <w:rPr>
          <w:sz w:val="20"/>
          <w:szCs w:val="20"/>
          <w:color w:val="auto"/>
        </w:rPr>
      </w:pPr>
      <w:r>
        <w:rPr>
          <w:rFonts w:ascii="Arial" w:cs="Arial" w:eastAsia="Arial" w:hAnsi="Arial"/>
          <w:sz w:val="17"/>
          <w:szCs w:val="17"/>
          <w:color w:val="auto"/>
        </w:rPr>
        <w:t>As of September 30, 2019, the Applicable Margin, as defined in the Amended and Restated Credit Agreement, was 3.25% for Eurodollar Loans and LIBOR Index Rate Loans and 2.25% for Base Rate Loans. As of September 30, 2019, we had $71.4 million principal balance on the Amended Term Loan and $20.6 million in letters of credit outstanding. See Note 8 - Debt to our condensed consolidated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Loan Agreement October 2019</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October 2019, our Amended and Restated Senior Credit Facility was replaced by a new $120.0 million senior secured asset-based credit facility (ABL). The ABL provides for a five-year revolving credit facility, including a sublimit for swing loans up to $15.0 million and a $35.0 million sublimit for standby letters of credit. Availability under the ABL is subject to a borrowing base, which was $119.3 million at closing, leaving $21.4 million available for borrowing.</w:t>
      </w:r>
    </w:p>
    <w:p>
      <w:pPr>
        <w:spacing w:after="0" w:line="18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Borrowings under the ABL generally bear interest at a variable rate based on either LIBOR or Base Rate plus an applicable margin, subject to monthly pricing adjustments, pursuant to a pricing matrix based on the Company’s excess availability under the revolving credit facility. In addition, the facility is subject to an unused fee, letter of credit fees and an administrative fee. The effective rate on borrowings at close was 3.9%.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12 -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Remainder of</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100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9"/>
          </w:tcPr>
          <w:p>
            <w:pPr>
              <w:ind w:left="12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652"/>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Under our Amended and Restated Credit Agreement,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 As of September 30, 2019, we are in compliance with the covenants contained in the Amended and Restated Credit Agreement.</w:t>
      </w:r>
    </w:p>
    <w:p>
      <w:pPr>
        <w:ind w:left="660" w:right="24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October 1, 2019 applicable LIBOR and margin rate totaling 5.3%.</w:t>
      </w:r>
    </w:p>
    <w:p>
      <w:pPr>
        <w:ind w:left="660" w:right="4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 related to the Mediscan acquisition, including accretion. See Note 4 - Acquisitions to our condensed consolidated financial statements.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October 2019, our senior credit facility was replaced by a new $120.0 million senior secured asset-based credit facility (ABL). See Note 8 - Debt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14 - Contingencies to our condensed consolidated financial statements.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addition to the above disclosed contractual obligations, we have accrued uncertain tax positions, pursuant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of $5.7 million at September 30, 2019. Based on the uncertainties associated with the settlement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of these items, we are unable to make reasonably reliable estimates of the period of potential settlements, if any, with the taxing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2018, filed with the SEC, other than the adoption of ASU No. 2014-09,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discussed in Note 2 - Summary of Significant Accounting Policies and Note 10 - Leases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240" w:top="584" w:right="5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17 - Recent Accounting Pronouncements to our condensed consolidated financial statements.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primary market risk exposure with regard to financial instruments relates to changes in interest rates on our term loan which had a variable interest rate. In March 2018, we entered into an interest rate swap agreement, which initially fixed the interest rate on 50% of the amortizing balance on our term debt. The interest rate swap qualified as a cash flow hedge in accordance with the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Topic of the FASB ASC and the resulting changes in fair value of the interest rate swap were recorded to other comprehensive (loss) income and reclassified to interest expense over the life of the term debt. In September 2019, in anticipation of entering into a new senior secured asset-based credit facility, we terminated our interest rate swap agreement. See Note 9 - Derivative to our condensed consolidated financial statements.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Excluding the impact of our interest rate swap agreement, a 1% change in interest rates on our term loan would have resulted in interest expense fluctuating approximately $0.8 million for the nine months ended September 30, 2019. After considering the effect of our interest rate swap agreement, a 1% change in interest rates on our variable rate debt would result in approximately $0.3 million change in interest expense for the nine months ended September 30, 2019. In October 2019, we refinanced our term loan by entering into a new senior secured asset-based credit facility (ABL). We expect to continue to be exposed to the risk of fluctuation in interest rates under the ABL as borrowings will bear interest at a variable rate. See Note 8 - Debt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2018.</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On January 1,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 We implemented internal controls and we are utilizing a new lease accounting information system to enable the preparation of financial information as part of the adoption. There were no significant changes to our internal control over financial reporting due to the adoption of the new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its profitability. Adverse developments in existing litigation claims or legal proceedings involving the Company or new claims could require it to establish or increase litigation reserves or enter into unfavorable settlements or satisfy judgments for monetary damages for amounts in excess of current reserves, which could adversely affect its financial results. In the second quarter of 2019, the Company recorded $1.6 million in legal settlement charges related to the resolution of a medical malpractice lawsuit, as well as a 2019 California wage and hour class action settlement agreement which remains subject to court approval. The Company believes the outcome of any outstanding loss contingencies as of September 30, 2019 will not have a material adverse effect on its business, financial condition, results of operations or cash flows. In October 2019, the Company received a grand jury subpoena directed to Advantage On Call whose assets were purchased by Cross Country Healthcare, Inc. in 2017. The subpoena appears to relate to an investigation of home healthcare services and healthcare staffing services. The Company is cooperating with the investigation.</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below Risk Factor should be considered along with our Risk Factors as previously disclosed in our Form 10-K for the year ended December 31, 2018.</w:t>
      </w:r>
    </w:p>
    <w:p>
      <w:pPr>
        <w:spacing w:after="0" w:line="24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The interest rates under our Amended and Restated Credit Agreement may be impacted by the phase-out of the London Interbank Offered Rate (“LIBOR”).</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LIBOR is the basic rate of interest used in lending between banks on the London interbank market and is widely used as a reference for setting the interest rates on loans globally. We generally use LIBOR as a reference rate to calculate interest under our Amended and Restated Credit Agreement. In 2017, the United Kingdom's Financial Conduct Authority, which regulates LIBOR, announced that it intends to phase out LIBOR by the end of 2021. It is unclear if LIBOR will cease to exist at that time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Whether or not SOFR, or another alternative reference rate, attains market traction as a LIBOR replacement tool remains in question. If LIBOR ceases to exist, we will need to agree upon a replacement reference rate with the banks under our Amended and Restated Credit Agreement and related hedging agreement, and amend the agreements accordingly. The new rates may not be as favorable to us as those in effect prior to any LIBOR phase-out.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64" w:right="259" w:bottom="1440" w:gutter="0" w:footer="0" w:header="0"/>
        </w:sectPr>
      </w:pPr>
    </w:p>
    <w:bookmarkStart w:id="42" w:name="page43"/>
    <w:bookmarkEnd w:id="42"/>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10.1 #</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Offer Letter between Cross Country Healthcare, Inc. and Buffy White, dated March 6, 2019</w:t>
              </w:r>
            </w:hyperlink>
          </w:p>
        </w:tc>
        <w:tc>
          <w:tcPr>
            <w:tcW w:w="3160" w:type="dxa"/>
            <w:vAlign w:val="bottom"/>
            <w:gridSpan w:val="6"/>
          </w:tcPr>
          <w:p>
            <w:pPr>
              <w:spacing w:after="0"/>
              <w:rPr>
                <w:sz w:val="24"/>
                <w:szCs w:val="24"/>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10.2 #</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Relocation Agreement between Cross Country Healthcare, Inc. and Buffy White, dated May 21 2019</w:t>
              </w:r>
            </w:hyperlink>
          </w:p>
        </w:tc>
        <w:tc>
          <w:tcPr>
            <w:tcW w:w="2440" w:type="dxa"/>
            <w:vAlign w:val="bottom"/>
            <w:gridSpan w:val="5"/>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pursuant to Rule 13a-14(a) and Rule 15d-14 (a) by Kevin C. Clark, President, Chief Executive Officer, Director</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(Principal Executive Officer)</w:t>
              </w:r>
            </w:hyperlink>
          </w:p>
        </w:tc>
        <w:tc>
          <w:tcPr>
            <w:tcW w:w="6900" w:type="dxa"/>
            <w:vAlign w:val="bottom"/>
            <w:tcBorders>
              <w:top w:val="single" w:sz="8" w:color="0000FF"/>
            </w:tcBorders>
            <w:gridSpan w:val="5"/>
          </w:tcPr>
          <w:p>
            <w:pPr>
              <w:spacing w:after="0"/>
              <w:rPr>
                <w:sz w:val="17"/>
                <w:szCs w:val="17"/>
                <w:color w:val="auto"/>
              </w:rPr>
            </w:pPr>
          </w:p>
        </w:tc>
        <w:tc>
          <w:tcPr>
            <w:tcW w:w="780" w:type="dxa"/>
            <w:vAlign w:val="bottom"/>
            <w:gridSpan w:val="3"/>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pursuant to Rule 13a-14(a) and Rule 15d-14 (a) by William J. Burns, EVP &amp; Chief Financial Officer (Principal</w:t>
              </w:r>
            </w:hyperlink>
          </w:p>
        </w:tc>
        <w:tc>
          <w:tcPr>
            <w:tcW w:w="8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Accounting and Financial Officer)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 pursuant to 18 U.S.C. Section 1350 by Kevin C. Clark, President, Chief Executive Officer, Director (Principal Executive</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51">
              <w:r>
                <w:rPr>
                  <w:rFonts w:ascii="Arial" w:cs="Arial" w:eastAsia="Arial" w:hAnsi="Arial"/>
                  <w:sz w:val="18"/>
                  <w:szCs w:val="18"/>
                  <w:color w:val="0000FF"/>
                  <w:w w:val="94"/>
                </w:rPr>
                <w:t>Officer)</w:t>
              </w:r>
            </w:hyperlink>
          </w:p>
        </w:tc>
        <w:tc>
          <w:tcPr>
            <w:tcW w:w="9060" w:type="dxa"/>
            <w:vAlign w:val="bottom"/>
            <w:tcBorders>
              <w:top w:val="single" w:sz="8" w:color="0000FF"/>
            </w:tcBorders>
            <w:gridSpan w:val="9"/>
          </w:tcPr>
          <w:p>
            <w:pPr>
              <w:spacing w:after="0"/>
              <w:rPr>
                <w:sz w:val="17"/>
                <w:szCs w:val="17"/>
                <w:color w:val="auto"/>
              </w:rPr>
            </w:pPr>
          </w:p>
        </w:tc>
        <w:tc>
          <w:tcPr>
            <w:tcW w:w="140" w:type="dxa"/>
            <w:vAlign w:val="bottom"/>
          </w:tcPr>
          <w:p>
            <w:pPr>
              <w:spacing w:after="0"/>
              <w:rPr>
                <w:sz w:val="17"/>
                <w:szCs w:val="17"/>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Certification pursuant to 18 U.S.C. Section 1350 by William J. Burns, EVP &amp; Chief Financial Officer (Principal Accounting and</w:t>
              </w:r>
            </w:hyperlink>
          </w:p>
        </w:tc>
        <w:tc>
          <w:tcPr>
            <w:tcW w:w="5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w:anchor="page52">
              <w:r>
                <w:rPr>
                  <w:rFonts w:ascii="Arial" w:cs="Arial" w:eastAsia="Arial" w:hAnsi="Arial"/>
                  <w:sz w:val="18"/>
                  <w:szCs w:val="18"/>
                  <w:color w:val="0000FF"/>
                  <w:w w:val="94"/>
                </w:rPr>
                <w:t>Financial Officer)</w:t>
              </w:r>
            </w:hyperlink>
          </w:p>
        </w:tc>
        <w:tc>
          <w:tcPr>
            <w:tcW w:w="8480" w:type="dxa"/>
            <w:vAlign w:val="bottom"/>
            <w:gridSpan w:val="9"/>
          </w:tcPr>
          <w:p>
            <w:pPr>
              <w:spacing w:after="0"/>
              <w:rPr>
                <w:sz w:val="17"/>
                <w:szCs w:val="17"/>
                <w:color w:val="auto"/>
              </w:rPr>
            </w:pPr>
          </w:p>
        </w:tc>
      </w:tr>
      <w:tr>
        <w:trPr>
          <w:trHeight w:val="41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Furnished herewith</w:t>
            </w:r>
          </w:p>
        </w:tc>
      </w:tr>
      <w:tr>
        <w:trPr>
          <w:trHeight w:val="918"/>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40" w:type="dxa"/>
            <w:vAlign w:val="bottom"/>
            <w:gridSpan w:val="6"/>
          </w:tcPr>
          <w:p>
            <w:pPr>
              <w:jc w:val="right"/>
              <w:ind w:right="2460"/>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3" w:name="page44"/>
    <w:bookmarkEnd w:id="4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Chief Financial Officer (Principal</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580"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3794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March 6,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Buffy White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Buffy,</w:t>
      </w:r>
    </w:p>
    <w:p>
      <w:pPr>
        <w:spacing w:after="0" w:line="162" w:lineRule="exact"/>
        <w:rPr>
          <w:sz w:val="20"/>
          <w:szCs w:val="20"/>
          <w:color w:val="auto"/>
        </w:rPr>
      </w:pPr>
    </w:p>
    <w:p>
      <w:pPr>
        <w:ind w:right="140"/>
        <w:spacing w:after="0" w:line="293" w:lineRule="auto"/>
        <w:rPr>
          <w:sz w:val="20"/>
          <w:szCs w:val="20"/>
          <w:color w:val="auto"/>
        </w:rPr>
      </w:pPr>
      <w:r>
        <w:rPr>
          <w:rFonts w:ascii="Arial" w:cs="Arial" w:eastAsia="Arial" w:hAnsi="Arial"/>
          <w:sz w:val="19"/>
          <w:szCs w:val="19"/>
          <w:color w:val="auto"/>
        </w:rPr>
        <w:t>Congratulations, it is with great pleasure that I inform you that the Compensation Committee of the Board of Directors has approved an adjustment to your base salary and STI. Your base salary will be increased to $400,000 per annum, effective February 28, 2019. Your Short-Term Incentive target will also be increased to 70% of your base salary for 2019. Your 2019 Long-Term Incentive target, remains 60% of your base salary. Altogether, your Total Direct Compensation, at target, for 2019 is $920, 000.</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All other terms and conditions of employment will remain unchanged as per your original offer letter of employment.</w:t>
      </w:r>
    </w:p>
    <w:p>
      <w:pPr>
        <w:spacing w:after="0" w:line="162" w:lineRule="exact"/>
        <w:rPr>
          <w:sz w:val="20"/>
          <w:szCs w:val="20"/>
          <w:color w:val="auto"/>
        </w:rPr>
      </w:pPr>
    </w:p>
    <w:p>
      <w:pPr>
        <w:ind w:right="340"/>
        <w:spacing w:after="0" w:line="316" w:lineRule="auto"/>
        <w:rPr>
          <w:sz w:val="20"/>
          <w:szCs w:val="20"/>
          <w:color w:val="auto"/>
        </w:rPr>
      </w:pPr>
      <w:r>
        <w:rPr>
          <w:rFonts w:ascii="Arial" w:cs="Arial" w:eastAsia="Arial" w:hAnsi="Arial"/>
          <w:sz w:val="19"/>
          <w:szCs w:val="19"/>
          <w:color w:val="auto"/>
        </w:rPr>
        <w:t>Buffy, I know you will continue to display the same level of enthusiasm and enterprise, which you have exhibited throughout your tenure at Cross Country Healthcare. I am looking forward to your continued contribution to the success of the organization.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Kevin Clark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Kevin Clark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Acknowledgement: </w:t>
      </w:r>
      <w:r>
        <w:rPr>
          <w:rFonts w:ascii="Arial" w:cs="Arial" w:eastAsia="Arial" w:hAnsi="Arial"/>
          <w:sz w:val="20"/>
          <w:szCs w:val="20"/>
          <w:u w:val="single" w:color="auto"/>
          <w:color w:val="auto"/>
        </w:rPr>
        <w:t>/s/ Buffy White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Buffy White</w:t>
      </w:r>
    </w:p>
    <w:p>
      <w:pPr>
        <w:sectPr>
          <w:pgSz w:w="11900" w:h="16838" w:orient="portrait"/>
          <w:cols w:equalWidth="0" w:num="1">
            <w:col w:w="11420"/>
          </w:cols>
          <w:pgMar w:left="240" w:top="37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11910"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91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Buffy White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Buffy,</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are pleased that you have agreed to relocate to our corporate headquarters located in Boca Raton, Florida. As an addendum to your original offer of employment dated September 30, 2016 &amp; March 6, 2019, we are pleased to offer you the following relocation assistance as outlined below. Please review the relocation plan and confirm your acceptance by signing this letter, retaining a copy for your records and returning the signed original to me. You can contact me at 800-396-0689 if you have questions about this plan.</w:t>
      </w:r>
    </w:p>
    <w:p>
      <w:pPr>
        <w:spacing w:after="0" w:line="10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RELOCATION ASSISTANCE OUTLINE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Relocation Assistance: </w:t>
      </w:r>
      <w:r>
        <w:rPr>
          <w:rFonts w:ascii="Arial" w:cs="Arial" w:eastAsia="Arial" w:hAnsi="Arial"/>
          <w:sz w:val="17"/>
          <w:szCs w:val="17"/>
          <w:color w:val="auto"/>
        </w:rPr>
        <w:t>The Company will reimburse you for the costs of covered expenses related to your relocation, up to a maximum amount</w:t>
      </w:r>
    </w:p>
    <w:p>
      <w:pPr>
        <w:spacing w:after="0" w:line="39"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of$100,000.00 (upon receipt of written invoices from third-party vendors regarding the same) to be used for up to 3 trips for family regarding homes/schools, closing costs of current home, closing costs of new home, and moving company expense (the "Relocation Expenses"). If your total Relocation Expenses exceed $100,000, then you agree to be responsible for any additional amounts.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costs:</w:t>
      </w:r>
    </w:p>
    <w:p>
      <w:pPr>
        <w:spacing w:after="0" w:line="27"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If you are terminated for Cause (as defined below) or you elect to voluntarily terminate your employment with the Company within 365 days immediately following the signing of your relocation addendum, you agree to repay a pro rata portion to the Company of any Relocation Expenses paid to you or on your behalf within ninety (90) days of your termination date, unless otherwise agreed upon by you and the Company. You will indicate your acknowledgment of this repayment when signing this addendum letter.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housing:</w:t>
      </w:r>
    </w:p>
    <w:p>
      <w:pPr>
        <w:spacing w:after="0" w:line="27"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The Company will pay for temporary housing expenses for up to twelve (12) months at a cost to the Company not to exceed $5,000.00 per month. The Company will pay invoices directly for such temporary executive housing. You agree to work with Colin McDonald, VP, Human Resources to assist you in securing temporary housing.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Your employment with the Company will terminate on the following terms and conditions: (a) automatically on the earlier of your voluntary resignation from employment without Good Reason (as defined below) or the date of your death; (b) upon notice from the Company if you are unable to perform your duties hereunder for 120 days (whether or not continuous) during any period of 180 consecutive days by reason of physical or mental disability. The disability will be deemed to have occurred on the 120th day of your absence or lack of adequate performance; or (c) upon the Company sending you written notice terminating your employment hereunder for Cause (as defined below). Upon a termination of your employment pursuant to this paragraph, the Company's sole obligation to you will be to pay you the Accrued Amounts (as defined below).</w:t>
      </w:r>
    </w:p>
    <w:p>
      <w:pPr>
        <w:spacing w:after="0" w:line="9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Upon a termination of your employment by the Company or any of its affiliates without Cause (as defined below) or your resignation for Good Reason (as defined below), the Company's sole obligation to you will be to pay or provide to you (1) any unpaid Base Salary through the date of termination payable in accordance with the Company's regular payroll practices; (2) reimbursement for any unreimbursed business expenses incurred through the date of termination paid in the next payroll immediately following the date of termination; (3) payment for any accrued but unused vacation time in accordance with Company policy, payable within thirty (30) days following the termination</w:t>
      </w:r>
    </w:p>
    <w:p>
      <w:pPr>
        <w:sectPr>
          <w:pgSz w:w="11900" w:h="16838" w:orient="portrait"/>
          <w:cols w:equalWidth="0" w:num="1">
            <w:col w:w="11420"/>
          </w:cols>
          <w:pgMar w:left="240" w:top="364" w:right="239" w:bottom="1440" w:gutter="0" w:footer="0" w:header="0"/>
        </w:sectPr>
      </w:pPr>
    </w:p>
    <w:bookmarkStart w:id="46" w:name="page47"/>
    <w:bookmarkEnd w:id="46"/>
    <w:p>
      <w:pPr>
        <w:spacing w:after="0" w:line="329" w:lineRule="auto"/>
        <w:rPr>
          <w:sz w:val="20"/>
          <w:szCs w:val="20"/>
          <w:color w:val="auto"/>
        </w:rPr>
      </w:pPr>
      <w:r>
        <w:rPr>
          <w:rFonts w:ascii="Arial" w:cs="Arial" w:eastAsia="Arial" w:hAnsi="Arial"/>
          <w:sz w:val="16"/>
          <w:szCs w:val="16"/>
          <w:color w:val="auto"/>
        </w:rPr>
        <w:t>of your employment; (4) all other applicable compensation arrangement or benefit, equity, or fringe benefit plan or program or grant pursuant to the terms and conditions of such plans (collectively, the "Accrued Amounts") and (5) continued payments of the Base Salary in effect at the time of the termination in accordance with the Company's regular payroll practices for a period of twelve (12) months following the date of termination (the "Severance Payments").</w:t>
      </w:r>
    </w:p>
    <w:p>
      <w:pPr>
        <w:spacing w:after="0" w:line="6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Notwithstanding anything herein to the contrary, the Severance Payments will only be payable to you if within 60 days following the date of termination you execute and deliver to the Company a fully effective and irrevocable release of claims against the Company and related parties, which the Company will provide to you within 7 days following the date of termination.</w:t>
      </w:r>
    </w:p>
    <w:p>
      <w:pPr>
        <w:spacing w:after="0" w:line="102"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Notwithstanding the foregoing, if you are or become eligible for severance benefits under the Company's Executive Severance Plan Amended and Restated as of May 28, 2010 (as in effect on the Effective Date, as thereafter amended, or any similar plan or arrangement adopted by the Company in replacement thereof, the "Executive Severance Plan") you will cease to be eligible for the Severance Payments described herein and the Company's sole obligation will be to pay you the amounts and provide you with the benefits provided in the Executive Severance Plan subject to the terms and conditions thereof.</w:t>
      </w:r>
    </w:p>
    <w:p>
      <w:pPr>
        <w:spacing w:after="0" w:line="7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"Cause" means (i) an act or acts of fraud or dishonesty by you which results in the personal enrichment of you or another person or entity at the expense of the Company; (ii) your pleading of guilty or nolo contendere to, or conviction of (x) any felony (other than third degree vehicular infractions), or (y) of any other crime or offense involving misuse or misappropriation of money or other property; (iii) your knowing, intentional and material breach of the Company's Code of Conduct for Senior Officers; or (iv) your gross negligence or willful misconduct with respect to your duties or gross misfeasance of office that results in material harm to the Company.</w:t>
      </w:r>
    </w:p>
    <w:p>
      <w:pPr>
        <w:spacing w:after="0" w:line="11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"Good Reason" means, if without your written consent, any of the following events occur that are not cured by the Company within 30 days after you have given the Company written notice specifying the occurrence of such Good Reason event, which notice must be given by you to the Company within 90 days after your becoming aware of the occurrence of the Good Reason event: (i) a material diminution in your then authority, duties or responsibilities or assignment of duties and responsibilities that are inconsistent with your status, title or position; (ii) a diminution in your base salary, sti target percentage or lti target percentage (iii) a relocation of your principal business location to a location more than 50 miles outside of Boca Raton, Florida; or (iv) any material breach of this Agreement by the Company. Your resignation hereunder for Good Reason will not occur later than 180 days following the initial date on which the event you claim constitutes Good Reason occurred. This offer letter constitutes the full and complete understanding of the parties with respect to the Severance Payments.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Severance:</w:t>
      </w:r>
    </w:p>
    <w:p>
      <w:pPr>
        <w:spacing w:after="0" w:line="27"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Upon signing a Participation Agreement, you will be entitled to participate in the Company's Executive Severance Agreement Amended and Restated as of May 28, 2010 pursuant to which you will be entitled to receive a 1-year payout and other benefits upon a change of control (pursuant to the terms and conditions in the Executive Severance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employment will remain unchanged as per your original offer letter of employment.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Colin McDonald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Colin McDonald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President, Human Resources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Acknowledgement: </w:t>
      </w:r>
      <w:r>
        <w:rPr>
          <w:rFonts w:ascii="Arial" w:cs="Arial" w:eastAsia="Arial" w:hAnsi="Arial"/>
          <w:sz w:val="18"/>
          <w:szCs w:val="18"/>
          <w:u w:val="single" w:color="auto"/>
          <w:color w:val="auto"/>
        </w:rPr>
        <w:t>/s/ Buffy White</w:t>
      </w:r>
    </w:p>
    <w:p>
      <w:pPr>
        <w:sectPr>
          <w:pgSz w:w="11900" w:h="16838" w:orient="portrait"/>
          <w:cols w:equalWidth="0" w:num="1">
            <w:col w:w="11400"/>
          </w:cols>
          <w:pgMar w:left="240" w:top="382"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Buffy White</w:t>
      </w:r>
    </w:p>
    <w:p>
      <w:pPr>
        <w:sectPr>
          <w:pgSz w:w="11900" w:h="16838" w:orient="portrait"/>
          <w:cols w:equalWidth="0" w:num="1">
            <w:col w:w="10219"/>
          </w:cols>
          <w:pgMar w:left="240" w:top="382"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2019, (the "Periodic Report"), I, Kevin C. Clark,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September 30, 2019, (the "Periodic Report"), I, William J. Burns,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decimal"/>
      <w:start w:val="13"/>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5"/>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2019-12-28T02:17:43Z</dcterms:created>
  <dcterms:modified xsi:type="dcterms:W3CDTF">2019-12-28T02:17:43Z</dcterms:modified>
</cp:coreProperties>
</file>