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4020" w:right="2100" w:hanging="1541"/>
        <w:spacing w:after="0" w:line="353" w:lineRule="auto"/>
        <w:tabs>
          <w:tab w:leader="none" w:pos="2671"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08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860"/>
          </w:cols>
          <w:pgMar w:left="320" w:top="1188" w:right="71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74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240"/>
          </w:cols>
          <w:pgMar w:left="320" w:top="1188" w:right="71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0860"/>
          </w:cols>
          <w:pgMar w:left="320" w:top="1188" w:right="71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380"/>
          </w:cols>
          <w:pgMar w:left="320" w:top="1188" w:right="71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720"/>
          </w:cols>
          <w:pgMar w:left="320" w:top="1188" w:right="719" w:bottom="1440" w:gutter="0" w:footer="0" w:header="0"/>
          <w:type w:val="continuous"/>
        </w:sectPr>
      </w:pP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82" w:lineRule="exact"/>
        <w:rPr>
          <w:sz w:val="24"/>
          <w:szCs w:val="24"/>
          <w:color w:val="auto"/>
        </w:rPr>
      </w:pPr>
    </w:p>
    <w:p>
      <w:pPr>
        <w:ind w:right="18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44" w:lineRule="exact"/>
        <w:rPr>
          <w:sz w:val="24"/>
          <w:szCs w:val="24"/>
          <w:color w:val="auto"/>
        </w:rPr>
      </w:pPr>
    </w:p>
    <w:p>
      <w:pPr>
        <w:jc w:val="center"/>
        <w:ind w:right="-379"/>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p>
    <w:p>
      <w:pPr>
        <w:spacing w:after="0" w:line="43" w:lineRule="exact"/>
        <w:rPr>
          <w:sz w:val="24"/>
          <w:szCs w:val="24"/>
          <w:color w:val="auto"/>
        </w:rPr>
      </w:pPr>
    </w:p>
    <w:p>
      <w:pPr>
        <w:jc w:val="center"/>
        <w:ind w:right="-379"/>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6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38,231,338 shares of common stock, par value $0.0001 per share, as of July 21,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188" w:right="7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potential impacts of the coronavirus pandemic (COVID) or (COVID-19) on our business, financial condition, and results of operations,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2021 (2021 Form 10-K), as filed and updated in our Quarterly Reports on Form 10-Q and other filings with the Securities and Exchange Commission (SEC).</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9"/>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88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Condensed Consolidated Balance Sheets (Unaudited)</w:t>
            </w:r>
          </w:p>
        </w:tc>
        <w:tc>
          <w:tcPr>
            <w:tcW w:w="4120" w:type="dxa"/>
            <w:vAlign w:val="bottom"/>
            <w:gridSpan w:val="7"/>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2680" w:type="dxa"/>
            <w:vAlign w:val="bottom"/>
            <w:gridSpan w:val="2"/>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340" w:type="dxa"/>
            <w:vAlign w:val="bottom"/>
            <w:gridSpan w:val="4"/>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 (Unaudited)</w:t>
            </w:r>
          </w:p>
        </w:tc>
        <w:tc>
          <w:tcPr>
            <w:tcW w:w="3060" w:type="dxa"/>
            <w:vAlign w:val="bottom"/>
            <w:gridSpan w:val="3"/>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3"/>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160" w:type="dxa"/>
            <w:vAlign w:val="bottom"/>
            <w:gridSpan w:val="10"/>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37</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40" w:type="dxa"/>
            <w:vAlign w:val="bottom"/>
            <w:gridSpan w:val="1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263"/>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12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79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$11,896 in 2022 and $6,881 in 2021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701,926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493,910</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718,323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508,273</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$19,240 in 2022 and $17,729 in 2021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7,488</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119,490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names, indefinite-lived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tax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21,956</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938,961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732,809</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9"/>
        </w:trPr>
        <w:tc>
          <w:tcPr>
            <w:tcW w:w="8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189,805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109,753</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65,580</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debt</w:t>
            </w: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4,090</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7,307</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earnout liability</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199,770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176,366</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deferred tax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accrued claims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25,314</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earnout liability</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13,788</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435,281</w:t>
            </w:r>
          </w:p>
        </w:tc>
      </w:tr>
      <w:tr>
        <w:trPr>
          <w:trHeight w:val="205"/>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321,552</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92,142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(22,735)</w:t>
            </w: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410,811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297,528</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938,961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732,809</w:t>
            </w: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40"/>
          </w:cols>
          <w:pgMar w:left="420" w:top="887" w:right="4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2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661,068</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259,237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517,013</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96,671</w:t>
            </w: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(benefits)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6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315,926</w:t>
            </w:r>
          </w:p>
        </w:tc>
        <w:tc>
          <w:tcPr>
            <w:tcW w:w="2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1,372,824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624,173</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30"/>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30,996</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114,835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30,966</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5"/>
        </w:trPr>
        <w:tc>
          <w:tcPr>
            <w:tcW w:w="6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020" w:type="dxa"/>
            <w:vAlign w:val="bottom"/>
          </w:tcPr>
          <w:p>
            <w:pPr>
              <w:ind w:left="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37,757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37,203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37,866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37,120</w:t>
            </w:r>
          </w:p>
        </w:tc>
      </w:tr>
      <w:tr>
        <w:trPr>
          <w:trHeight w:val="20"/>
        </w:trPr>
        <w:tc>
          <w:tcPr>
            <w:tcW w:w="6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CROSS COUNTRY HEALTHCARE, INC. CONDENSED CONSOLIDATED STATEMENTS OF STOCKHOLDERS' EQUITY Three Months Ended June 30, 2022 and 2021 (Unaudited, amounts in thousands)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Retained 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March 31, 2022</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37,443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318,125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(1,304)</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39,248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356,073</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80</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(239)</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2,114</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2,114</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48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20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52,894</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52,894</w:t>
            </w:r>
          </w:p>
        </w:tc>
      </w:tr>
      <w:tr>
        <w:trPr>
          <w:trHeight w:val="19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June 30, 2022</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37,523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(1,335)</w:t>
            </w: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92,142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410,811</w:t>
            </w:r>
          </w:p>
        </w:tc>
      </w:tr>
      <w:tr>
        <w:trPr>
          <w:trHeight w:val="20"/>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March 31, 2021</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36,495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309,711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(135,289)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173,674</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(204)</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2,137</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2,137</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207"/>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 WSG</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r>
      <w:tr>
        <w:trPr>
          <w:trHeight w:val="20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11,548</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11,548</w:t>
            </w:r>
          </w:p>
        </w:tc>
      </w:tr>
      <w:tr>
        <w:trPr>
          <w:trHeight w:val="22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316,644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(123,741)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192,131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 Months Ended June 30, 2022 and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2021</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321,552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(22,735)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297,528</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499</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(5,267)</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(5,267)</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3,715</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3,715</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(42)</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4"/>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114,877</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114,877</w:t>
            </w:r>
          </w:p>
        </w:tc>
      </w:tr>
      <w:tr>
        <w:trPr>
          <w:trHeight w:val="198"/>
        </w:trPr>
        <w:tc>
          <w:tcPr>
            <w:tcW w:w="2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June 30, 2022</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37,523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320,000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(1,335)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92,142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410,811</w:t>
            </w:r>
          </w:p>
        </w:tc>
      </w:tr>
      <w:tr>
        <w:trPr>
          <w:trHeight w:val="21"/>
        </w:trPr>
        <w:tc>
          <w:tcPr>
            <w:tcW w:w="2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70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20" w:type="dxa"/>
            <w:vAlign w:val="bottom"/>
          </w:tcPr>
          <w:p>
            <w:pPr>
              <w:spacing w:after="0"/>
              <w:rPr>
                <w:sz w:val="18"/>
                <w:szCs w:val="18"/>
                <w:color w:val="auto"/>
              </w:rPr>
            </w:pP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5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80" w:type="dxa"/>
            <w:vAlign w:val="bottom"/>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200" w:type="dxa"/>
            <w:vAlign w:val="bottom"/>
          </w:tcPr>
          <w:p>
            <w:pPr>
              <w:spacing w:after="0"/>
              <w:rPr>
                <w:sz w:val="18"/>
                <w:szCs w:val="18"/>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5"/>
                <w:szCs w:val="15"/>
                <w:b w:val="1"/>
                <w:bCs w:val="1"/>
                <w:color w:val="auto"/>
              </w:rPr>
              <w:t>Noncontrolling</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29"/>
        </w:trPr>
        <w:tc>
          <w:tcPr>
            <w:tcW w:w="2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jc w:val="right"/>
              <w:ind w:right="2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1"/>
                <w:szCs w:val="11"/>
                <w:color w:val="auto"/>
              </w:rPr>
            </w:pPr>
          </w:p>
        </w:tc>
        <w:tc>
          <w:tcPr>
            <w:tcW w:w="1300" w:type="dxa"/>
            <w:vAlign w:val="bottom"/>
          </w:tcPr>
          <w:p>
            <w:pPr>
              <w:jc w:val="right"/>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22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200" w:type="dxa"/>
            <w:vAlign w:val="bottom"/>
          </w:tcPr>
          <w:p>
            <w:pPr>
              <w:spacing w:after="0"/>
              <w:rPr>
                <w:sz w:val="11"/>
                <w:szCs w:val="11"/>
                <w:color w:val="auto"/>
              </w:rPr>
            </w:pPr>
          </w:p>
        </w:tc>
        <w:tc>
          <w:tcPr>
            <w:tcW w:w="1120" w:type="dxa"/>
            <w:vAlign w:val="bottom"/>
          </w:tcPr>
          <w:p>
            <w:pPr>
              <w:jc w:val="right"/>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27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Subsidiary</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December 31, 2020</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36,177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310,388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(154,737)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154,909</w:t>
            </w:r>
          </w:p>
        </w:tc>
      </w:tr>
      <w:tr>
        <w:trPr>
          <w:trHeight w:val="200"/>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477</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(2,230)</w:t>
            </w:r>
          </w:p>
        </w:tc>
        <w:tc>
          <w:tcPr>
            <w:tcW w:w="20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(2,230)</w:t>
            </w:r>
          </w:p>
        </w:tc>
      </w:tr>
      <w:tr>
        <w:trPr>
          <w:trHeight w:val="205"/>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compensation</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3,486</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3,486</w:t>
            </w:r>
          </w:p>
        </w:tc>
      </w:tr>
      <w:tr>
        <w:trPr>
          <w:trHeight w:val="148"/>
        </w:trPr>
        <w:tc>
          <w:tcPr>
            <w:tcW w:w="2740" w:type="dxa"/>
            <w:vAlign w:val="bottom"/>
          </w:tcPr>
          <w:p>
            <w:pPr>
              <w:ind w:left="140"/>
              <w:spacing w:after="0" w:line="149" w:lineRule="exact"/>
              <w:rPr>
                <w:sz w:val="20"/>
                <w:szCs w:val="20"/>
                <w:color w:val="auto"/>
              </w:rPr>
            </w:pPr>
            <w:r>
              <w:rPr>
                <w:rFonts w:ascii="Times New Roman" w:cs="Times New Roman" w:eastAsia="Times New Roman" w:hAnsi="Times New Roman"/>
                <w:sz w:val="15"/>
                <w:szCs w:val="15"/>
                <w:color w:val="auto"/>
              </w:rPr>
              <w:t>Foreign currency translation adjustment,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12"/>
        </w:trPr>
        <w:tc>
          <w:tcPr>
            <w:tcW w:w="27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of taxes</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9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180" w:type="dxa"/>
            <w:vAlign w:val="bottom"/>
          </w:tcPr>
          <w:p>
            <w:pPr>
              <w:spacing w:after="0"/>
              <w:rPr>
                <w:sz w:val="18"/>
                <w:szCs w:val="18"/>
                <w:color w:val="auto"/>
              </w:rPr>
            </w:pPr>
          </w:p>
        </w:tc>
        <w:tc>
          <w:tcPr>
            <w:tcW w:w="118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207"/>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Acquisition of WSG</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5,000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5,000</w:t>
            </w:r>
          </w:p>
        </w:tc>
      </w:tr>
      <w:tr>
        <w:trPr>
          <w:trHeight w:val="200"/>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30,996</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30,996</w:t>
            </w:r>
          </w:p>
        </w:tc>
      </w:tr>
      <w:tr>
        <w:trPr>
          <w:trHeight w:val="22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2021</w:t>
            </w: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36,962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316,644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(123,741)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5"/>
                <w:szCs w:val="15"/>
                <w:color w:val="auto"/>
              </w:rPr>
              <w:t>534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192,131</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114,877</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30,996</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30"/>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(benefits)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(76,274)</w:t>
            </w:r>
          </w:p>
        </w:tc>
      </w:tr>
      <w:tr>
        <w:trPr>
          <w:trHeight w:val="230"/>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22,014</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r>
      <w:tr>
        <w:trPr>
          <w:trHeight w:val="229"/>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(9,422)</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(27,472)</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term loan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273,981</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(311,400)</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note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53,438</w:t>
            </w:r>
          </w:p>
        </w:tc>
      </w:tr>
      <w:tr>
        <w:trPr>
          <w:trHeight w:val="237"/>
        </w:trPr>
        <w:tc>
          <w:tcPr>
            <w:tcW w:w="8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18,127</w:t>
            </w:r>
          </w:p>
        </w:tc>
      </w:tr>
      <w:tr>
        <w:trPr>
          <w:trHeight w:val="21"/>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2021 included in the 2021 Form 10-K. The December 31, 2021 condensed consolidated balance sheet included herein was derived from the December 31, 2021 audited consolidated balance sheet included in the 2021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6220" w:firstLine="8"/>
        <w:spacing w:after="0" w:line="534"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in context of the unknown future impacts of the global pandemic using information that is reasonably available to the Company at the time. Significant estimates and assumptions are used for, but not limited to:</w:t>
      </w:r>
    </w:p>
    <w:p>
      <w:pPr>
        <w:spacing w:after="0" w:line="3" w:lineRule="exact"/>
        <w:rPr>
          <w:sz w:val="20"/>
          <w:szCs w:val="20"/>
          <w:color w:val="auto"/>
        </w:rPr>
      </w:pPr>
    </w:p>
    <w:p>
      <w:pPr>
        <w:ind w:firstLine="8"/>
        <w:spacing w:after="0" w:line="252"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 including management's expectations at the time regarding the duration, scope, and severity of the pandemic, as well as other factors, could materially and adversely impact the Company's consolidated financial statements in future reporting periods. Actual results could differ from those estimates.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prioritizes the mental health and well-being of its employees, especially in response to the COVID pandemic. While operating primarily through a remote workforce, the Company's offices remain open with stringent safety guidelines and procedures in place. Business travel, including visits to healthcare clients, continues to be somewhat limited at the request of the Company's clients who are continuing to cope with the pandemic twenty-four hours a day/seven days a week.</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second quarter of 2022, average bill rates were down in the mid-single digits as expected, but volumes were stronger as the Company continued to experience high demand across a wide range of specialties spanning the healthcare continuum. Investments in people and technology, along with other improvements the Company has made during the pandemic, have allowed it to quickly respond to high demand levels that it is continuing to see across a wide range of specialties, including operating room, emergency room, pediatrics, labor and delivery, and medical and surgical services, not all of which are directly related to COVID needs.</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Throughout the pandemic, the Company worked collaboratively with clients on adjusting bill rates in order to adapt to the rapidly changing market conditions. One of the Company's core values is to act ethically and responsibly, and it has been especially important during this pandemic to be transparent and build trust with its clients to re-enforce long-lasting relationships as both demand and bill rates increased to unprecedented levels.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June 30, 2022 and December 31, 2021 totaled $217.3 million and $140.0 million, respectively.</w:t>
      </w:r>
    </w:p>
    <w:p>
      <w:pPr>
        <w:spacing w:after="0" w:line="20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and contract assets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current expectations of future economic conditions, including the impact of COVID, when estimating its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opening balance of the allowance for doubtful accounts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w:t>
            </w: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doubtful accounts, the Company maintains a sales allowance for billing-related adjustments which may arise in the ordinary course of business and adjustments to the reserve are recorded as contra-revenue. The balance of this allowance as of June 30, 2022 and December 31, 2021 was $1.0 million and $0.8 million, respectively.</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U.S. based healthcare systems with a significant percentage in acute-care facilities. No single customer accounted for more than 10% of the Company’s revenue for the three and six months ended June 30, 2022 and 2021, or the accounts receivable balance as of June 30, 2022 and 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(Benefits) Costs</w:t>
      </w:r>
    </w:p>
    <w:p>
      <w:pPr>
        <w:spacing w:after="0" w:line="25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As a result, restructuring (benefits) costs on the condensed consolidated statements of operations primarily include employee termination costs and lease-related exit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employee termination costs and lease-related exit costs (benefits)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Employee Termination</w:t>
            </w:r>
          </w:p>
        </w:tc>
        <w:tc>
          <w:tcPr>
            <w:tcW w:w="7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Lease-Related</w:t>
            </w:r>
          </w:p>
        </w:tc>
      </w:tr>
      <w:tr>
        <w:trPr>
          <w:trHeight w:val="223"/>
        </w:trPr>
        <w:tc>
          <w:tcPr>
            <w:tcW w:w="5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(amounts in thousands)</w:t>
            </w:r>
          </w:p>
        </w:tc>
        <w:tc>
          <w:tcPr>
            <w:tcW w:w="186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260" w:type="dxa"/>
            <w:vAlign w:val="bottom"/>
          </w:tcPr>
          <w:p>
            <w:pPr>
              <w:spacing w:after="0"/>
              <w:rPr>
                <w:sz w:val="19"/>
                <w:szCs w:val="19"/>
                <w:color w:val="auto"/>
              </w:rPr>
            </w:pPr>
          </w:p>
        </w:tc>
        <w:tc>
          <w:tcPr>
            <w:tcW w:w="2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and adjustments</w:t>
            </w:r>
          </w:p>
        </w:tc>
        <w:tc>
          <w:tcPr>
            <w:tcW w:w="26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6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30"/>
        </w:trPr>
        <w:tc>
          <w:tcPr>
            <w:tcW w:w="57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Charged to restructuring</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tcPr>
          <w:p>
            <w:pPr>
              <w:spacing w:after="0"/>
              <w:rPr>
                <w:sz w:val="19"/>
                <w:szCs w:val="19"/>
                <w:color w:val="auto"/>
              </w:rPr>
            </w:pPr>
          </w:p>
        </w:tc>
        <w:tc>
          <w:tcPr>
            <w:tcW w:w="2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31" w:lineRule="exact"/>
        <w:rPr>
          <w:sz w:val="20"/>
          <w:szCs w:val="20"/>
          <w:color w:val="auto"/>
        </w:rPr>
      </w:pPr>
    </w:p>
    <w:p>
      <w:pPr>
        <w:ind w:right="560" w:firstLine="8"/>
        <w:spacing w:after="0" w:line="255"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(benefits) costs in the condensed consolidated statements of operations for the six months ended June 30, 2022 include a benefit of $1.4 million associated with the early termination of one of the Company's corporate offices which was previously restructured. Other costs were immaterial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00" w:lineRule="exact"/>
        <w:rPr>
          <w:sz w:val="20"/>
          <w:szCs w:val="20"/>
          <w:color w:val="auto"/>
        </w:rPr>
      </w:pPr>
    </w:p>
    <w:p>
      <w:pPr>
        <w:spacing w:after="0" w:line="205"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Three Months ended June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712,090</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733,297</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19,353</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20,264</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731,443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753,561</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308,519</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323,591</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316,188</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331,827</w:t>
            </w:r>
          </w:p>
        </w:tc>
        <w:tc>
          <w:tcPr>
            <w:tcW w:w="0" w:type="dxa"/>
            <w:vAlign w:val="bottom"/>
          </w:tcPr>
          <w:p>
            <w:pPr>
              <w:spacing w:after="0"/>
              <w:rPr>
                <w:sz w:val="1"/>
                <w:szCs w:val="1"/>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2022</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1,461,537</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43,311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1,504,848</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35,486</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37,445</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1,497,023</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1,542,293</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6"/>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168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68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614,494</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644,972</w:t>
            </w:r>
          </w:p>
        </w:tc>
        <w:tc>
          <w:tcPr>
            <w:tcW w:w="0" w:type="dxa"/>
            <w:vAlign w:val="bottom"/>
          </w:tcPr>
          <w:p>
            <w:pPr>
              <w:spacing w:after="0"/>
              <w:rPr>
                <w:sz w:val="1"/>
                <w:szCs w:val="1"/>
                <w:color w:val="auto"/>
              </w:rPr>
            </w:pPr>
          </w:p>
        </w:tc>
      </w:tr>
      <w:tr>
        <w:trPr>
          <w:trHeight w:val="234"/>
        </w:trPr>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w:t>
            </w:r>
          </w:p>
        </w:tc>
        <w:tc>
          <w:tcPr>
            <w:tcW w:w="0" w:type="dxa"/>
            <w:vAlign w:val="bottom"/>
          </w:tcPr>
          <w:p>
            <w:pPr>
              <w:spacing w:after="0"/>
              <w:rPr>
                <w:sz w:val="1"/>
                <w:szCs w:val="1"/>
                <w:color w:val="auto"/>
              </w:rPr>
            </w:pP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629,196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31,872</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661,068</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-4337050</wp:posOffset>
            </wp:positionV>
            <wp:extent cx="71323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-4045585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-3051175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-2759710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-1765300</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-1473835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56" w:lineRule="exact"/>
        <w:rPr>
          <w:sz w:val="20"/>
          <w:szCs w:val="20"/>
          <w:color w:val="auto"/>
        </w:rPr>
      </w:pPr>
    </w:p>
    <w:p>
      <w:pPr>
        <w:sectPr>
          <w:pgSz w:w="11900" w:h="16838" w:orient="portrait"/>
          <w:cols w:equalWidth="0" w:num="2">
            <w:col w:w="4940" w:space="720"/>
            <w:col w:w="5580"/>
          </w:cols>
          <w:pgMar w:left="320" w:top="887" w:right="339" w:bottom="1440" w:gutter="0" w:footer="0" w:header="0"/>
          <w:type w:val="continuous"/>
        </w:sectPr>
      </w:pPr>
    </w:p>
    <w:p>
      <w:pPr>
        <w:spacing w:after="0" w:line="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w:t>
      </w:r>
    </w:p>
    <w:p>
      <w:pPr>
        <w:spacing w:after="0" w:line="20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sellers were eligible to receive up to an additional $1.5 million in earnout cash consideration, based on Selected's revenues for each of the twelve-month periods ending on the first and second anniversaries of the first day after the closing date. In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second quarter of 2022, the Company determined that the contingent consideration earnout related to the Selected acquisition would not be achieved for 2022 and 2023 and, as a result, the entire liability was reversed. See Note 10 - Fair Value Measurements.</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$0.4 million was recorded as goodwill on the Company's condensed consolidated balance sheets. See Note 7 - Goodwill, Trade Names, and Other Intangible Assets.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Associated immaterial acquisition-related costs incurred have been included in acquisition and integration-related costs on the Company's condensed consolidated statements of operations for the six months ended June 30,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Country Workforce Solutions Group (CCWSG)</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 The transaction was treated as a purchase of assets for income tax purposes.</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sellers are also eligible to receive an earnout based on the business' performance through three years after the acquisition date that could provide up to an additional $15.0 million in cash. The current portion of the liability of $7.5 million is included in current portion of earnout liability and the non-current portion of $7.5 million is included in non-current earnout liability on the condensed consolidated balance sheets. See Note 10 - Fair Value Measurements.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assets acquired and liabilities assumed on June 8, 2021:</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00"/>
        </w:trPr>
        <w:tc>
          <w:tcPr>
            <w:tcW w:w="9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22,066</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50,361</w:t>
            </w:r>
          </w:p>
        </w:tc>
      </w:tr>
      <w:tr>
        <w:trPr>
          <w:trHeight w:val="22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 current</w:t>
            </w:r>
          </w:p>
        </w:tc>
        <w:tc>
          <w:tcPr>
            <w:tcW w:w="2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liability</w:t>
            </w:r>
          </w:p>
        </w:tc>
        <w:tc>
          <w:tcPr>
            <w:tcW w:w="20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3"/>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w:t>
            </w:r>
          </w:p>
        </w:tc>
      </w:tr>
      <w:tr>
        <w:trPr>
          <w:trHeight w:val="248"/>
        </w:trPr>
        <w:tc>
          <w:tcPr>
            <w:tcW w:w="9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assigned a value to other identifiable intangible assets of $14.2 million in customer relationships with a weighted average estimated useful life of 11.5 years.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remaining excess purchase price over the fair value of net assets acquired of $22.1 million was recorded as goodwill on the Company's condensed consolidated balance sheets. See Note 7 - Goodwill, Trade Names, and Other Intangible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COMPREHENSIVE INCOME</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Total comprehensive income includes net income or loss and foreign currency translation adjustments, net of any related deferred taxes, and is included within the accompanying condensed consolidated statements of operations.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$1.4 million at June 30, 2022 and $1.3 million at December 31, 2021.</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19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66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2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40" w:type="dxa"/>
            <w:vAlign w:val="bottom"/>
            <w:tcBorders>
              <w:bottom w:val="single" w:sz="8" w:color="auto"/>
            </w:tcBorders>
          </w:tcPr>
          <w:p>
            <w:pPr>
              <w:spacing w:after="0"/>
              <w:rPr>
                <w:sz w:val="23"/>
                <w:szCs w:val="23"/>
                <w:color w:val="auto"/>
              </w:rPr>
            </w:pPr>
          </w:p>
        </w:tc>
      </w:tr>
      <w:tr>
        <w:trPr>
          <w:trHeight w:val="250"/>
        </w:trPr>
        <w:tc>
          <w:tcPr>
            <w:tcW w:w="6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89"/>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90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740" w:type="dxa"/>
            <w:vAlign w:val="bottom"/>
          </w:tcPr>
          <w:p>
            <w:pPr>
              <w:spacing w:after="0"/>
              <w:rPr>
                <w:sz w:val="16"/>
                <w:szCs w:val="16"/>
                <w:color w:val="auto"/>
              </w:rPr>
            </w:pPr>
          </w:p>
        </w:tc>
      </w:tr>
      <w:tr>
        <w:trPr>
          <w:trHeight w:val="23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6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 - Basic and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114,877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30,996</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36,404</w:t>
            </w:r>
          </w:p>
        </w:tc>
      </w:tr>
      <w:tr>
        <w:trPr>
          <w:trHeight w:val="229"/>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6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Diluted</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37,757</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37,203</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common stockholders - 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1"/>
        </w:trPr>
        <w:tc>
          <w:tcPr>
            <w:tcW w:w="6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income per share attributable to common stockholders in the future that were not included in the computation of diluted net income per share attributable to common stockholders because to do so would have been anti-dilutive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19"/>
                <w:szCs w:val="19"/>
                <w:color w:val="auto"/>
              </w:rPr>
            </w:pPr>
          </w:p>
        </w:tc>
        <w:tc>
          <w:tcPr>
            <w:tcW w:w="270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(amounts in thousands)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860" w:type="dxa"/>
            <w:vAlign w:val="bottom"/>
            <w:gridSpan w:val="2"/>
            <w:shd w:val="clear" w:color="auto" w:fill="CCEEFF"/>
          </w:tcPr>
          <w:p>
            <w:pPr>
              <w:jc w:val="right"/>
              <w:ind w:right="5310"/>
              <w:spacing w:after="0"/>
              <w:rPr>
                <w:sz w:val="20"/>
                <w:szCs w:val="20"/>
                <w:color w:val="auto"/>
              </w:rPr>
            </w:pPr>
            <w:r>
              <w:rPr>
                <w:rFonts w:ascii="Times New Roman" w:cs="Times New Roman" w:eastAsia="Times New Roman" w:hAnsi="Times New Roman"/>
                <w:sz w:val="18"/>
                <w:szCs w:val="18"/>
                <w:color w:val="auto"/>
              </w:rPr>
              <w:t>Share-based awards</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0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Company had the following acquired intangible assets: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17,581</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 agreements</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2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40,339</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42,863</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78,572</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36,228</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8"/>
                <w:szCs w:val="18"/>
                <w:color w:val="auto"/>
              </w:rPr>
              <w:t>As of June 30, 2022, estimated annual amortization expense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80" w:type="dxa"/>
            <w:vAlign w:val="bottom"/>
            <w:gridSpan w:val="8"/>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2"/>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Nurse</w:t>
            </w:r>
          </w:p>
        </w:tc>
        <w:tc>
          <w:tcPr>
            <w:tcW w:w="120" w:type="dxa"/>
            <w:vAlign w:val="bottom"/>
          </w:tcPr>
          <w:p>
            <w:pPr>
              <w:spacing w:after="0"/>
              <w:rPr>
                <w:sz w:val="17"/>
                <w:szCs w:val="17"/>
                <w:color w:val="auto"/>
              </w:rPr>
            </w:pPr>
          </w:p>
        </w:tc>
        <w:tc>
          <w:tcPr>
            <w:tcW w:w="20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4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gridSpan w:val="2"/>
          </w:tcPr>
          <w:p>
            <w:pPr>
              <w:jc w:val="center"/>
              <w:ind w:right="560"/>
              <w:spacing w:after="0" w:line="176" w:lineRule="exact"/>
              <w:rPr>
                <w:sz w:val="20"/>
                <w:szCs w:val="20"/>
                <w:color w:val="auto"/>
              </w:rPr>
            </w:pPr>
            <w:r>
              <w:rPr>
                <w:rFonts w:ascii="Times New Roman" w:cs="Times New Roman" w:eastAsia="Times New Roman" w:hAnsi="Times New Roman"/>
                <w:sz w:val="18"/>
                <w:szCs w:val="18"/>
                <w:b w:val="1"/>
                <w:bCs w:val="1"/>
                <w:color w:val="auto"/>
              </w:rPr>
              <w:t>And Allied</w:t>
            </w:r>
          </w:p>
        </w:tc>
        <w:tc>
          <w:tcPr>
            <w:tcW w:w="12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vMerge w:val="restart"/>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1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Staffing</w:t>
            </w:r>
          </w:p>
        </w:tc>
        <w:tc>
          <w:tcPr>
            <w:tcW w:w="4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396,446</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439,851</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(269,874)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(310,472)</w:t>
            </w:r>
          </w:p>
        </w:tc>
        <w:tc>
          <w:tcPr>
            <w:tcW w:w="0" w:type="dxa"/>
            <w:vAlign w:val="bottom"/>
          </w:tcPr>
          <w:p>
            <w:pPr>
              <w:spacing w:after="0"/>
              <w:rPr>
                <w:sz w:val="1"/>
                <w:szCs w:val="1"/>
                <w:color w:val="auto"/>
              </w:rPr>
            </w:pPr>
          </w:p>
        </w:tc>
      </w:tr>
      <w:tr>
        <w:trPr>
          <w:trHeight w:val="22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116,683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119,490</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to aggregate goodwill in 2022</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Goodwill acquisition adjustment - Selected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2022</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goodwill acquired</w:t>
            </w: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390,316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43,405</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433,721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 of business</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3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(269,874)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(40,598)</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(310,472)</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of impairment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110,553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113,360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31" w:lineRule="exact"/>
        <w:rPr>
          <w:sz w:val="20"/>
          <w:szCs w:val="20"/>
          <w:color w:val="auto"/>
        </w:rPr>
      </w:pPr>
    </w:p>
    <w:p>
      <w:pPr>
        <w:ind w:right="60" w:firstLine="8"/>
        <w:spacing w:after="0" w:line="260"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the fair value of the identifiable net assets acquired, with a corresponding offset to goodwill, made during the measurement period related to the acquisition of Selected. See Note 4 - Acquisitions.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including COVID,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June 30, 2022 and 2021, the Company performed a qualitative assessment of each of its reporting units and determined it was not more likely than not that the fair value of its reporting units dropped below their carrying value. Although management believes that the Company's current estimates and assumptions utilized in its qualitative testing are reasonable and supportable, including its assumptions on the impact and timing related to COVID, there can be no assurance that the estimates and assumptions management used for purposes of its qualitative assessment as of June 30, 2022 will prove to be accurate predictions of future performance.</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the carrying amount may not be recoverable. As of June 30, 2022, the Company performed a qualitative assessment of its trade names and other intangible assets and determined it was not more likely than not that their carrying value may not be recoverable. During the six months ended June 30, 2021, the Company wrote off a discontinued software development project, resulting in an immaterial impairment charge.</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right="160"/>
        <w:spacing w:after="0" w:line="237" w:lineRule="auto"/>
        <w:rPr>
          <w:sz w:val="20"/>
          <w:szCs w:val="20"/>
          <w:color w:val="auto"/>
        </w:rPr>
      </w:pPr>
      <w:r>
        <w:rPr>
          <w:rFonts w:ascii="Times New Roman" w:cs="Times New Roman" w:eastAsia="Times New Roman" w:hAnsi="Times New Roman"/>
          <w:sz w:val="18"/>
          <w:szCs w:val="18"/>
          <w:color w:val="auto"/>
        </w:rPr>
        <w:t>Term Loan, interest of 7.39% and 6.50% at June 30, 2022 and December 31,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3.12% and 1.60% at June 30, 2022 and December 31, 2021, respectively</w:t>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Payable, interest of 2.00% per annum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 Note Payable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current portion -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0" w:type="dxa"/>
            <w:vAlign w:val="bottom"/>
          </w:tcPr>
          <w:p>
            <w:pPr>
              <w:spacing w:after="0"/>
              <w:rPr>
                <w:sz w:val="1"/>
                <w:szCs w:val="1"/>
                <w:color w:val="auto"/>
              </w:rPr>
            </w:pPr>
          </w:p>
        </w:tc>
      </w:tr>
      <w:tr>
        <w:trPr>
          <w:trHeight w:val="414"/>
        </w:trPr>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208,875</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181,762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40" w:space="100"/>
            <w:col w:w="5000"/>
          </w:cols>
          <w:pgMar w:left="320" w:top="887" w:right="339" w:bottom="1440" w:gutter="0" w:footer="0" w:header="0"/>
        </w:sectPr>
      </w:pP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2021, the current portion of the term loan and the note payable are included in current portion of debt on the condensed consolidated balance sheets. The final installment of the note payable, related to contingent consideration assumed as part of a prior period acquisition, was paid in the first quarter of 2022. The Company has elected to present the debt issuance costs associated with its revolving line-of-credit as an asset, which is included in other non-current assets on the condensed consolidated balance sheets. As a result, the long-term debt in the above table will not agree to long-term debt, net of current portion on the condensed consolidated balance sheets herein.</w:t>
      </w:r>
    </w:p>
    <w:p>
      <w:pPr>
        <w:spacing w:after="0" w:line="7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Late in the second quarter of 2022, the Company made an optional prepayment of $50.0 million on its term loan. The Company was entitled to determine the application of the prepayment, which was applied to all future amortization payments, with the balance applied to the remaining balloon payment in 2027. As of June 30, 2022, the aggregate schedule for maturities of debt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Senior Secured Asset-</w:t>
            </w:r>
          </w:p>
        </w:tc>
        <w:tc>
          <w:tcPr>
            <w:tcW w:w="0" w:type="dxa"/>
            <w:vAlign w:val="bottom"/>
          </w:tcPr>
          <w:p>
            <w:pPr>
              <w:spacing w:after="0"/>
              <w:rPr>
                <w:sz w:val="1"/>
                <w:szCs w:val="1"/>
                <w:color w:val="auto"/>
              </w:rPr>
            </w:pPr>
          </w:p>
        </w:tc>
      </w:tr>
      <w:tr>
        <w:trPr>
          <w:trHeight w:val="243"/>
        </w:trPr>
        <w:tc>
          <w:tcPr>
            <w:tcW w:w="7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Based Loan</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36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color w:val="auto"/>
              </w:rPr>
              <w:t>(amounts in thousands)</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Through Years Ending December 31:</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Term Loan Credit Agreement</w:t>
      </w:r>
    </w:p>
    <w:p>
      <w:pPr>
        <w:spacing w:after="0" w:line="108"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June 8, 2021, the Company entered into a Term Loan Credit Agreement (Term Loan Agreement) with certain lenders identified therein (collectively, the Lenders) and Wilmington Trust, National Association as administrative agent and collateral agent, pursuant to which the Lenders extended to the Company a six-year second lien subordinated term loan in the amount of $100.0 million (term loan). The term loan has an interest rate of one-month London Inter-Bank Offered Rate (LIBOR) plus 5.75% per annum, subject to a 0.75% LIBOR floor. The term loan was used to pay the cash consideration, as well as any costs, fees, and expenses in connection with the WSG acquisition (see Note 4 - Acquisitions), with the remainder used to pay down a of the asset based credit facility. Fees paid in connection with the Term Loan Agreement have been included as debt issuance costs and as a reduction to the carrying amount of the term loan and are expected to be amortized to interest expense over the term of the Term Loan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7" w:name="page18"/>
    <w:bookmarkEnd w:id="17"/>
    <w:p>
      <w:pPr>
        <w:ind w:right="80"/>
        <w:spacing w:after="0"/>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June 30, 2022. Obligations under the Term Loan Agreement are secured by substantially all the assets of the borrowers and guarantors under the Term Loan Agreement, subject to customary exceptions.</w:t>
      </w:r>
    </w:p>
    <w:p>
      <w:pPr>
        <w:spacing w:after="0" w:line="7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 In conjunction with the Term Loan First Amendment, the Company entered into the Term Loan First Amendment to the Intercreditor Agreement, effective as of November 18, 2021, which sets forth the lien priority, relative rights, and other creditors’ rights issues in respect of the collateral lenders.</w:t>
      </w:r>
    </w:p>
    <w:p>
      <w:pPr>
        <w:spacing w:after="0" w:line="21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Aside from its scheduled payments, on June 23, 2022, the Company made an optional prepayment of $50.0 million to reduce interest costs, and paid a prepayment premium of $0.5 million pursuant to the Term Loan Agreement. As a result of the early prepayment, debt issuance costs of $1.4 million were written off in the three months ended June 30, 2022. The prepayment premium and the write-off of debt issuance costs are included as loss on early extinguishment of debt in the condensed consolidated statements of operations.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term loan is secured by a second-priority security interest in the collateral as defined in the ABL Credit Agreement (Loan Agreement) (as described below), and Wells Fargo Bank, National Association as agent, as amended by the First Amendment, Second Amendment, Third Amendment, Fourth Amendment, and Fifth Amendment to the Loan Agreement (as described below).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Loan Agreement</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commitments under its prior senior credit facility entered into in August 2017 and entered into a Loan Agreement, by and among the Company and certain of its domestic subsidiaries, as borrowers or guarantors, Wells Fargo, PNC Bank N.A., as well as other Lenders (as defined) from time to time parties thereto. The Loan Agreement provides for a five-year revolving senior secured asset-based credit facility (ABL) in the aggregate principal amount of up to $120.0 million (as described below), including a sublimit for swing loans up to $15.0 million and a $35.0 million sublimit for standby letters of credit.</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its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spacing w:after="0" w:line="6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its Loan Agreement (Fourth Amendment), whereby the permitted indebtedness (as defined in the Loan Agreement), was increased to $175.0 million.</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March 21, 2022, the Company amended its Loan Agreement (Fifth Amendment), which increased the current aggregate committed size of the ABL from $150.0 million to $300.0 million, extended the credit facility for an additional five years, and increased certain borrowing base sub-limits. In addition, the agreement provides the option for all or a portion of the borrowings to bear interest at a rate based on the Secured Overnight Financing Rate (SOFR) or Base Rate, at the election of the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borrowers, plus an applicable margin. The applicable margin will increase 10 basis points due to the credit spread associated with the transition to SOFR.</w:t>
      </w:r>
    </w:p>
    <w:p>
      <w:pPr>
        <w:spacing w:after="0" w:line="11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will be amortized ratably over the remaining term of the Loan Agreement.</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Availability under the ABL will be used for general corporate purposes. At June 30, 2022, borrowing base availability under the ABL was $300.0 million and the Company had $85.0 million of borrowings drawn, as well as $17.5 million of letters of credit outstanding related to workers' compensation and professional liability policies, leaving $197.5 million of excess availability.</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June 30, 2022,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and covenants applicable to the Company and its subsidiaries, including a covenant to maintain a minimum fixed charge coverage ratio. The Company was in compliance with this covenant as of June 30, 2022. Obligations under the ABL are secured by substantially all the assets of the borrowers and guarantors, subject to customary exceptions.</w:t>
      </w: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Beginning in the second quarter of 2020, in connection with the continuing developments from COVID, the Company expedited restructuring plans and either reduced or fully vacated leased office space. The Company is in the process of seeking to sublet some of the space where possible. The Company did not record any lease-related impairment charges for the three months ended June 30, 2022. The decision and change in the use of space resulted in a right-of-use asset impairment charge of $1.5 million for the three months ended March 31, 2022 and $1.7 million for the three months ended June 30, 2021. This loss 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three months ended March 31, 2022 and June 30, 2021, the Company wrote off an immaterial amount of leasehold improvements and other property and equipment related to these locations. The measurement of the right-of-use asset impairments, using the assumptions described, is a Level 3 fair value measurement. See Note 10 - Fair Value Measurements for a description of Level 3 inputs.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8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34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20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5,058</w:t>
            </w:r>
          </w:p>
        </w:tc>
        <w:tc>
          <w:tcPr>
            <w:tcW w:w="15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4,145</w:t>
            </w:r>
          </w:p>
        </w:tc>
        <w:tc>
          <w:tcPr>
            <w:tcW w:w="150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7,017</w:t>
            </w:r>
          </w:p>
        </w:tc>
        <w:tc>
          <w:tcPr>
            <w:tcW w:w="1500" w:type="dxa"/>
            <w:vAlign w:val="bottom"/>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9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years</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r>
    </w:tbl>
    <w:p>
      <w:pPr>
        <w:spacing w:after="0" w:line="3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June 30, 2022: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(amounts in thousands)</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Pr>
          <w:p>
            <w:pPr>
              <w:spacing w:after="0"/>
              <w:rPr>
                <w:sz w:val="19"/>
                <w:szCs w:val="19"/>
                <w:color w:val="auto"/>
              </w:rPr>
            </w:pPr>
          </w:p>
        </w:tc>
        <w:tc>
          <w:tcPr>
            <w:tcW w:w="8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72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3,135</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acquired under operating lease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9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72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8"/>
        </w:trPr>
        <w:tc>
          <w:tcPr>
            <w:tcW w:w="7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20" w:type="dxa"/>
            <w:vAlign w:val="bottom"/>
          </w:tcPr>
          <w:p>
            <w:pPr>
              <w:spacing w:after="0"/>
              <w:rPr>
                <w:sz w:val="21"/>
                <w:szCs w:val="21"/>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645</w:t>
            </w:r>
          </w:p>
        </w:tc>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30"/>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1,241</w:t>
            </w:r>
          </w:p>
        </w:tc>
        <w:tc>
          <w:tcPr>
            <w:tcW w:w="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(1,110)</w:t>
            </w:r>
          </w:p>
        </w:tc>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486"/>
        </w:trPr>
        <w:tc>
          <w:tcPr>
            <w:tcW w:w="7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120" w:type="dxa"/>
            <w:vAlign w:val="bottom"/>
          </w:tcPr>
          <w:p>
            <w:pPr>
              <w:spacing w:after="0"/>
              <w:rPr>
                <w:sz w:val="24"/>
                <w:szCs w:val="24"/>
                <w:color w:val="auto"/>
              </w:rPr>
            </w:pPr>
          </w:p>
        </w:tc>
      </w:tr>
      <w:tr>
        <w:trPr>
          <w:trHeight w:val="238"/>
        </w:trPr>
        <w:tc>
          <w:tcPr>
            <w:tcW w:w="7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20" w:type="dxa"/>
            <w:vAlign w:val="bottom"/>
            <w:tcBorders>
              <w:bottom w:val="single" w:sz="8" w:color="auto"/>
            </w:tcBorders>
          </w:tcPr>
          <w:p>
            <w:pPr>
              <w:spacing w:after="0"/>
              <w:rPr>
                <w:sz w:val="20"/>
                <w:szCs w:val="20"/>
                <w:color w:val="auto"/>
              </w:rPr>
            </w:pPr>
          </w:p>
        </w:tc>
      </w:tr>
      <w:tr>
        <w:trPr>
          <w:trHeight w:val="223"/>
        </w:trPr>
        <w:tc>
          <w:tcPr>
            <w:tcW w:w="7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23"/>
        </w:trPr>
        <w:tc>
          <w:tcPr>
            <w:tcW w:w="7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tcPr>
          <w:p>
            <w:pPr>
              <w:spacing w:after="0"/>
              <w:rPr>
                <w:sz w:val="19"/>
                <w:szCs w:val="19"/>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w:t>
            </w:r>
          </w:p>
        </w:tc>
        <w:tc>
          <w:tcPr>
            <w:tcW w:w="1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1,447</w:t>
            </w:r>
          </w:p>
        </w:tc>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expense</w:t>
            </w: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2,385</w:t>
            </w:r>
          </w:p>
        </w:tc>
        <w:tc>
          <w:tcPr>
            <w:tcW w:w="86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34"/>
        </w:trPr>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(353)</w:t>
            </w:r>
          </w:p>
        </w:tc>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bl>
    <w:p>
      <w:pPr>
        <w:spacing w:after="0" w:line="31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(benefits) costs in the condensed consolidated statements of operations, depending on the nature of the leased asset. Operating lease expense is reported net of sublease income, which is not material. Variable and other lease costs for the three and six months ended June 30, 2022 include a benefit associated with the early termination of one of the Company's corporate offices which was previously restructured.</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2022, the Company does not have any material operating leases which have not yet commenced. The Company has an immaterial amount of finance lease contracts related to other equipment rentals which are not included in the above disclosures.</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its: (i) deferred compensation asset included in other non-current assets; and (ii) deferred compensation liability included in other long-term liabilities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ind w:right="80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722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June 30, 2022</w:t>
      </w:r>
      <w:r>
        <w:rPr>
          <w:sz w:val="20"/>
          <w:szCs w:val="20"/>
          <w:color w:val="auto"/>
        </w:rPr>
        <w:tab/>
      </w:r>
      <w:r>
        <w:rPr>
          <w:rFonts w:ascii="Times New Roman" w:cs="Times New Roman" w:eastAsia="Times New Roman" w:hAnsi="Times New Roman"/>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1,181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6285" cy="16256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2,274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six months ended June 30, 2022 and 2021 included impairment charges to right-of-use assets along with related property and equipment in connection with leases that were vacated. Accordingly, as of June 30, 2022 and 2021, these assets were recorded at fair value using Level 3 inputs. See Note 9 - Leases for more information about these fair value measurements.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note payable, (ii) ABL, (iii) term loan, and (iv) and (v) earnout liabilities, as discussed below.</w:t>
      </w:r>
    </w:p>
    <w:p>
      <w:pPr>
        <w:spacing w:after="0" w:line="204" w:lineRule="exact"/>
        <w:rPr>
          <w:sz w:val="20"/>
          <w:szCs w:val="20"/>
          <w:color w:val="auto"/>
        </w:rPr>
      </w:pPr>
    </w:p>
    <w:p>
      <w:pPr>
        <w:ind w:firstLine="8"/>
        <w:spacing w:after="0" w:line="242" w:lineRule="auto"/>
        <w:tabs>
          <w:tab w:leader="none" w:pos="2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the third and final installment on its note payable in the first quarter of 2022. Due to its relatively short-term nature, the carrying value of the note payable approximated its fair value. (ii) The carrying amount of the Company's ABL approximates fair value because the interest rates are variable and reflective of market rates. (iii) The estimated fair value of the Company's term loan was calculated applying an interest rate lattice model using Level 2 inputs from available market information. (iv) Potential earnout payments related to the WSG acquisition are contingent upon meeting certain performance requirements based on 2021 through 2023 performance. The Company performed an analysis using multiple forecasted scenarios to determine the fair value of the earnout liability. The earnout liability's carrying amount approximates fair value and is included in current portion of earnout liability and non-current earnout liability on the condensed consolidated balance sheets. (v) Potential earnout payments related to the Selected acquisition were contingent upon meeting certain performance requirements based on 2022 and 2023 revenues. The earnout liability's carrying amount approximates fair value and was included in current portion of earnout liability and non-current earnout liability on the condensed consolidated balance sheets. In the second quarter of 2022, the Company determined that the contingent consideration earnout related to the Selected acquisition would not be achieved for 2022 and 2023 and, as a result, the entire liability was reversed. See Note 4 - Acquisitions.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carrying amounts and estimated fair value of the Company’s significant financial instruments that were not measured at fair value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80" w:type="dxa"/>
            <w:vAlign w:val="bottom"/>
            <w:tcBorders>
              <w:bottom w:val="single" w:sz="8" w:color="auto"/>
            </w:tcBorders>
          </w:tcPr>
          <w:p>
            <w:pPr>
              <w:spacing w:after="0"/>
              <w:rPr>
                <w:sz w:val="20"/>
                <w:szCs w:val="20"/>
                <w:color w:val="auto"/>
              </w:rPr>
            </w:pPr>
          </w:p>
        </w:tc>
      </w:tr>
      <w:tr>
        <w:trPr>
          <w:trHeight w:val="169"/>
        </w:trPr>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520" w:type="dxa"/>
            <w:vAlign w:val="bottom"/>
          </w:tcPr>
          <w:p>
            <w:pPr>
              <w:spacing w:after="0"/>
              <w:rPr>
                <w:sz w:val="14"/>
                <w:szCs w:val="14"/>
                <w:color w:val="auto"/>
              </w:rPr>
            </w:pPr>
          </w:p>
        </w:tc>
        <w:tc>
          <w:tcPr>
            <w:tcW w:w="1180" w:type="dxa"/>
            <w:vAlign w:val="bottom"/>
          </w:tcPr>
          <w:p>
            <w:pPr>
              <w:jc w:val="center"/>
              <w:ind w:right="431"/>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center"/>
              <w:ind w:right="50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640" w:type="dxa"/>
            <w:vAlign w:val="bottom"/>
          </w:tcPr>
          <w:p>
            <w:pPr>
              <w:spacing w:after="0"/>
              <w:rPr>
                <w:sz w:val="14"/>
                <w:szCs w:val="14"/>
                <w:color w:val="auto"/>
              </w:rPr>
            </w:pPr>
          </w:p>
        </w:tc>
        <w:tc>
          <w:tcPr>
            <w:tcW w:w="1080" w:type="dxa"/>
            <w:vAlign w:val="bottom"/>
          </w:tcPr>
          <w:p>
            <w:pPr>
              <w:jc w:val="right"/>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r>
      <w:tr>
        <w:trPr>
          <w:trHeight w:val="241"/>
        </w:trPr>
        <w:tc>
          <w:tcPr>
            <w:tcW w:w="3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520" w:type="dxa"/>
            <w:vAlign w:val="bottom"/>
          </w:tcPr>
          <w:p>
            <w:pPr>
              <w:spacing w:after="0"/>
              <w:rPr>
                <w:sz w:val="20"/>
                <w:szCs w:val="20"/>
                <w:color w:val="auto"/>
              </w:rPr>
            </w:pPr>
          </w:p>
        </w:tc>
        <w:tc>
          <w:tcPr>
            <w:tcW w:w="13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300" w:type="dxa"/>
            <w:vAlign w:val="bottom"/>
          </w:tcPr>
          <w:p>
            <w:pPr>
              <w:spacing w:after="0"/>
              <w:rPr>
                <w:sz w:val="20"/>
                <w:szCs w:val="20"/>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40" w:type="dxa"/>
            <w:vAlign w:val="bottom"/>
          </w:tcPr>
          <w:p>
            <w:pPr>
              <w:spacing w:after="0"/>
              <w:rPr>
                <w:sz w:val="20"/>
                <w:szCs w:val="20"/>
                <w:color w:val="auto"/>
              </w:rPr>
            </w:pPr>
          </w:p>
        </w:tc>
        <w:tc>
          <w:tcPr>
            <w:tcW w:w="10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9"/>
        </w:trPr>
        <w:tc>
          <w:tcPr>
            <w:tcW w:w="38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6"/>
                <w:szCs w:val="16"/>
                <w:color w:val="auto"/>
              </w:rPr>
              <w:t>(amounts in thousands)</w:t>
            </w:r>
          </w:p>
        </w:tc>
        <w:tc>
          <w:tcPr>
            <w:tcW w:w="2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2"/>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2"/>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Senior Secured Asset-Based Loan</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2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118,386</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174,312</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2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Earnout Liability (WSG)</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right"/>
              <w:ind w:right="4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9"/>
        </w:trPr>
        <w:tc>
          <w:tcPr>
            <w:tcW w:w="3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Earnout Liability (Selected)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doubtful accounts in Note 2 - Summary of Significant Accounting Policies. Overall, based on the large number of customers in differing geographic areas, primarily throughout the United States and its territories, the Company believes the concentration of credit risk is limited.</w:t>
      </w:r>
    </w:p>
    <w:p>
      <w:pPr>
        <w:spacing w:after="0" w:line="172" w:lineRule="exact"/>
        <w:rPr>
          <w:sz w:val="20"/>
          <w:szCs w:val="20"/>
          <w:color w:val="auto"/>
        </w:rPr>
      </w:pPr>
    </w:p>
    <w:p>
      <w:pPr>
        <w:ind w:right="8520" w:firstLine="8"/>
        <w:spacing w:after="0" w:line="549" w:lineRule="auto"/>
        <w:tabs>
          <w:tab w:leader="none" w:pos="395"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Stock Repurchase Program</w:t>
      </w:r>
    </w:p>
    <w:p>
      <w:pPr>
        <w:spacing w:after="0" w:line="1"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18"/>
          <w:szCs w:val="18"/>
          <w:color w:val="auto"/>
        </w:rPr>
        <w:t>On February 28, 2008, our Board of Directors authorized our most recent stock repurchase program whereby we may purchase up to 1.5 million of our common shares, subject to the terms of our current credit agreements. The shares may be repurchased from time-to-time in the open market and the repurchase program may be discontinued at any time at our discretion. During the six months ended June 30, 2022 and 2021, the Company did not repurchase any shares of its common stock. As of June 30, 2022, the Company has 510,004 shares of common stock under the current share repurchase program available to repurchase, subject to certain conditions in the Company's Loan Agreement and Term Loan Agreement.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May 19, 2020, the Company's stockholders approved the Cross Country Healthcare, Inc. 2020 Omnibus Incentive Plan (2020 Plan), which replaced the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2017 Plan and the 2020 Plan (Plans) for the six months ended June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2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5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1,039,455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522,166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283,625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171,873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(575,051)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(13,877)</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712,912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509,884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Awards granted to non-employee directors under the 2017 Plan, prior to the adoption of the 2020 Plan, vest in three equal installments on the first, second, and third anniversaries of the grant date, while restricted shares granted under the 2020 Plan on and subsequent to June 2020 will vest on the first anniversary of such grant date, or earlier subject to retirement eligibility. In addition, effective in the three months ended June 30, 2020, the Company implemented modified guidelines that provide for accelerated vesting of restricted stock grants on the last date of service when a retirement-eligible director retires.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2022, the Company's Compensation Committee of the Board of Directors approved a 120% level of attainment for the 2019 performance-based share awards, resulting in the issuance of 170,278 performance shares that vested on March 31, 2022.</w:t>
      </w:r>
    </w:p>
    <w:p>
      <w:pPr>
        <w:spacing w:after="0" w:line="2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$2.1 million and $3.7 million, respectively, was included in selling, general and administrative expenses related to share-based payments, and a net of 80,200 and 499,700 shares, respectively, of common stock were issued upon the vesting of restricted and performance stock.</w:t>
      </w:r>
    </w:p>
    <w:p>
      <w:pPr>
        <w:spacing w:after="0" w:line="21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2021, $2.1 million and $3.5 million, respectively, was included in selling, general and administrative expenses related to share-based payments, and a net of 159,025 and 476,630 shares, respectively, of common stock were issued upon the vesting of restricted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segments offer services to its customers as described below:</w:t>
      </w:r>
    </w:p>
    <w:p>
      <w:pPr>
        <w:spacing w:after="0" w:line="250" w:lineRule="exact"/>
        <w:rPr>
          <w:sz w:val="20"/>
          <w:szCs w:val="20"/>
          <w:color w:val="auto"/>
        </w:rPr>
      </w:pPr>
    </w:p>
    <w:p>
      <w:pPr>
        <w:ind w:left="660" w:hanging="328"/>
        <w:spacing w:after="0" w:line="275" w:lineRule="auto"/>
        <w:tabs>
          <w:tab w:leader="none" w:pos="6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Nurse and Allied Staffing </w:t>
      </w:r>
      <w:r>
        <w:rPr>
          <w:rFonts w:ascii="Times New Roman" w:cs="Times New Roman" w:eastAsia="Times New Roman" w:hAnsi="Times New Roman"/>
          <w:sz w:val="17"/>
          <w:szCs w:val="17"/>
          <w:color w:val="auto"/>
        </w:rPr>
        <w:t>– Nurse and Allied Staffing provides traditional staffing, recruiting, and value-added total talent solutions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temporary and permanent placement of travel and local nurse and allied professionals, managed services programs (MSP) services, education healthcare services, in-home care services, and outsourcing services. In addition, Nurse and Allied Staffing provides retained search services for healthcare professionals, as well as contingent search and recruitment process outsourcing services. Its clients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spacing w:after="0" w:line="195" w:lineRule="exact"/>
        <w:rPr>
          <w:rFonts w:ascii="Times New Roman" w:cs="Times New Roman" w:eastAsia="Times New Roman" w:hAnsi="Times New Roman"/>
          <w:sz w:val="17"/>
          <w:szCs w:val="17"/>
          <w:color w:val="auto"/>
        </w:rPr>
      </w:pPr>
    </w:p>
    <w:p>
      <w:pPr>
        <w:ind w:left="660" w:right="340" w:hanging="328"/>
        <w:spacing w:after="0" w:line="290" w:lineRule="auto"/>
        <w:tabs>
          <w:tab w:leader="none" w:pos="62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Physician Staffing </w:t>
      </w:r>
      <w:r>
        <w:rPr>
          <w:rFonts w:ascii="Times New Roman" w:cs="Times New Roman" w:eastAsia="Times New Roman" w:hAnsi="Times New Roman"/>
          <w:sz w:val="17"/>
          <w:szCs w:val="17"/>
          <w:color w:val="auto"/>
        </w:rPr>
        <w:t>– Physician Staffing provides physicians in many specialties, as well as certified registered nurse anesthetists, nurse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evaluates performance of each segment primarily based on revenue and contribution income. The Company defines contribution income as income (loss) from operations before depreciation and amortization, acquisition and integration-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300"/>
        <w:spacing w:after="0" w:line="261" w:lineRule="auto"/>
        <w:rPr>
          <w:sz w:val="20"/>
          <w:szCs w:val="20"/>
          <w:color w:val="auto"/>
        </w:rPr>
      </w:pPr>
      <w:r>
        <w:rPr>
          <w:rFonts w:ascii="Times New Roman" w:cs="Times New Roman" w:eastAsia="Times New Roman" w:hAnsi="Times New Roman"/>
          <w:sz w:val="18"/>
          <w:szCs w:val="18"/>
          <w:color w:val="auto"/>
        </w:rPr>
        <w:t>related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6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9"/>
                <w:szCs w:val="19"/>
                <w:color w:val="auto"/>
              </w:rPr>
            </w:pPr>
          </w:p>
        </w:tc>
        <w:tc>
          <w:tcPr>
            <w:tcW w:w="2740" w:type="dxa"/>
            <w:vAlign w:val="bottom"/>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4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tcBorders>
              <w:bottom w:val="single" w:sz="8" w:color="auto"/>
            </w:tcBorders>
          </w:tcPr>
          <w:p>
            <w:pPr>
              <w:spacing w:after="0"/>
              <w:rPr>
                <w:sz w:val="20"/>
                <w:szCs w:val="20"/>
                <w:color w:val="auto"/>
              </w:rPr>
            </w:pP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4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(amounts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731,443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316,188</w:t>
            </w:r>
          </w:p>
        </w:tc>
        <w:tc>
          <w:tcPr>
            <w:tcW w:w="26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1,497,023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629,196</w:t>
            </w: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26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31,872</w:t>
            </w:r>
          </w:p>
        </w:tc>
      </w:tr>
      <w:tr>
        <w:trPr>
          <w:trHeight w:val="223"/>
        </w:trPr>
        <w:tc>
          <w:tcPr>
            <w:tcW w:w="4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753,561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331,827</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661,068</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72,701</w:t>
            </w:r>
          </w:p>
        </w:tc>
      </w:tr>
      <w:tr>
        <w:trPr>
          <w:trHeight w:val="229"/>
        </w:trPr>
        <w:tc>
          <w:tcPr>
            <w:tcW w:w="4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74,691</w:t>
            </w:r>
          </w:p>
        </w:tc>
      </w:tr>
      <w:tr>
        <w:trPr>
          <w:trHeight w:val="257"/>
        </w:trPr>
        <w:tc>
          <w:tcPr>
            <w:tcW w:w="4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overhead </w:t>
            </w:r>
            <w:r>
              <w:rPr>
                <w:rFonts w:ascii="Times New Roman" w:cs="Times New Roman" w:eastAsia="Times New Roman" w:hAnsi="Times New Roman"/>
                <w:sz w:val="23"/>
                <w:szCs w:val="23"/>
                <w:color w:val="auto"/>
                <w:vertAlign w:val="superscript"/>
              </w:rPr>
              <w:t>(a)</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(benefits) costs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78,837</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36,895</w:t>
            </w:r>
          </w:p>
        </w:tc>
      </w:tr>
      <w:tr>
        <w:trPr>
          <w:trHeight w:val="21"/>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right="80" w:firstLine="8"/>
        <w:spacing w:after="0" w:line="260"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(initiatives).</w:t>
      </w:r>
    </w:p>
    <w:p>
      <w:pPr>
        <w:spacing w:after="0" w:line="20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various litigation, claims, investigations, and other proceedings that arise in the ordinary course of its business. These matters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The Company believes the outcome of any outstanding loss contingencies as of June 30, 2022 will not have a material adverse effect on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the liability is reflected in sales tax payable within other current liabilities in its condensed consolidated balance sheets.</w:t>
      </w:r>
    </w:p>
    <w:p>
      <w:pPr>
        <w:spacing w:after="0" w:line="21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2022, the Company calculated its effective tax rate estimating its annual effective tax rate, as opposed to the three and six months ended June 30, 2021 whereby the Company calculated its effective tax rate based on year-to-date results. The Company’s effective tax rate for the three and six months ended June 30, 2022 was 28.7% and 28.8%, respectively, including the impact of discrete items, and 28.9% and 29.5%, respectively, excluding discrete items. The Company's effective tax rate for the three and six months ended June 30, 2021 was 22.5% and 12.1%, respectively, including the impact of discrete items, and 9.5% and 6.6%, respectively, excluding discrete items. The effective tax rate for the three and six months ended June 30, 2022 was primarily impacted by federal and state taxes. As a result of the Company's valuation allowance on substantially all of its domestic deferred tax assets, the effective tax rate for the three and six months ended June 30, 2021 was primarily impacted by international taxes, state taxes, and additional valuation allowance required as a result of the WSG acquisition.</w:t>
      </w:r>
    </w:p>
    <w:p>
      <w:pPr>
        <w:spacing w:after="0" w:line="2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concluded that it was more likely than not that a benefit from a substantial portion of its United States federal and state deferred tax assets would be realized and released the majority of its valuation allowance. As of June 30, 2022 and December 31, 2021, the Company had an immaterial amount of valuation allowance on its deferred tax assets related to state net operating losses not expected to be realized before expiration.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years 2012 through 2021 remain open to examination by certain taxing jurisdictions to which the Company is subject to tax.</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Mr. Clark, the Company's non-executive Chairman of the Board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and six months ended June 30, 2022 and 2021, the Company incurred an immaterial amount in expenses. The Company had an immaterial payable balance at June 30, 2022 and December 31, 2021.</w:t>
      </w:r>
    </w:p>
    <w:p>
      <w:pPr>
        <w:spacing w:after="0" w:line="2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$0.5 million and $0.9 million, respectively, for the three and six months ended June 30, 2022. Revenue was immaterial for the three and six months ended June 30, 2021. Accounts receivable due from these entities was an immaterial amount at June 30, 2022 and December 31, 2021.</w:t>
      </w:r>
    </w:p>
    <w:p>
      <w:pPr>
        <w:spacing w:after="0" w:line="2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a result of the WSG acquisition on June 8, 2021, the Company continues to rent WSG's headquarters. The Chief Executive Officer and Founder of WSG, and currently a business unit president with the Company, is an agent of the lessor. The lease term is from January 1, 2020 through December 31, 2024. The Company paid an immaterial amount in rent expense for these premises for the three and six months ended June 30, 2022 and the month ended June 30, 2021. The Company had an immaterial payable balance at June 30, 2022 and no payable balance at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6" w:name="page27"/>
    <w:bookmarkEnd w:id="2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On October 28,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requires contract assets and contract liabilities such as deferred revenue acquired in a business combination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measured by the acquirer on the acquisition date in accordance with ASC 606, Revenue from Contracts with Customers.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is currently in the process of evaluating this standard and expects to adopt this standard in its first quarter of 2023.</w:t>
      </w:r>
    </w:p>
    <w:p>
      <w:pPr>
        <w:spacing w:after="0" w:line="21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2021 Form 10-K (including Part I, Item 1A, "Risk Factors"), our financial statements and the accompanying notes to our financial statements, as well as the Risk Factors contained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Selected and WSG.</w:t>
      </w:r>
    </w:p>
    <w:p>
      <w:pPr>
        <w:spacing w:after="0" w:line="21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recruitment process outsourcing (RPO), project management, and other outsourcing and consultative services as described in Item 1. “Business” in our 2021 Form 10-K. By utilizing the solutions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closely aligned with our core values to create a better future for our people, communities, and our stockholders.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our business segments are regularly reviewed by the chief operating decision maker.</w:t>
      </w:r>
    </w:p>
    <w:p>
      <w:pPr>
        <w:spacing w:after="0" w:line="250" w:lineRule="exact"/>
        <w:rPr>
          <w:sz w:val="20"/>
          <w:szCs w:val="20"/>
          <w:color w:val="auto"/>
        </w:rPr>
      </w:pPr>
    </w:p>
    <w:p>
      <w:pPr>
        <w:ind w:left="660" w:right="80" w:hanging="328"/>
        <w:spacing w:after="0" w:line="255"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97% of our total revenue in the second quarter of 2022.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clients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spacing w:after="0" w:line="211" w:lineRule="exact"/>
        <w:rPr>
          <w:rFonts w:ascii="Times New Roman" w:cs="Times New Roman" w:eastAsia="Times New Roman" w:hAnsi="Times New Roman"/>
          <w:sz w:val="18"/>
          <w:szCs w:val="18"/>
          <w:color w:val="auto"/>
        </w:rPr>
      </w:pPr>
    </w:p>
    <w:p>
      <w:pPr>
        <w:ind w:left="660" w:right="520" w:hanging="328"/>
        <w:spacing w:after="0" w:line="284"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3% of our total revenue in the second quarter of 2022. Physician Staffing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physicians in many specialties, as well as certified registered nurse anesthetists,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nurse practitioners, and physician assistants as independent contractors on temporary assignments throughout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43"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For the quarter ended June 30, 2022, revenue from services increased 127% year-over-year to $753.6 million, due to continued growth in both our Nurse and Allied Staffing and our Physician Staffing segments. Volumes were stronger as we continued to experience high demand across a wide range of specialties spanning the healthcare continuum, with the highest number of professionals on assignment across our businesses. In the second quarter of 2022, revenue decreased 4% sequentially, primarily as a result of average bill rates declining in the mid-single digits as expected, partly offset by an increase in billable hours. Net income attributable to common stockholders in the second quarter of 2022 was $52.9 million, as compared to $11.5 million in the prior year.</w:t>
      </w:r>
    </w:p>
    <w:p>
      <w:pPr>
        <w:spacing w:after="0" w:line="22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For the remainder of 2022, average travel bill rates are anticipated to experience a mid-teen decline sequentially, as previously discussed. Looking beyond the third quarter, we anticipate volumes to remain strong, driving further market share gains despite potential headwinds from changing bill rates or demand from certain specialties. We remain committed to investing in our people and technology, doubling our IT project budget for 2022, versus 2021. In the second quarter of 2022, we launched Intellify, our proprietary Vendor Management System (VMS), which will be deployed to new and existing MSP clients.</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three months ended June 30, 2022, cash flow provided by operating activities was $18.1 million, with net borrowings of $33.5 million on our senior-secured asset-based credit facility (ABL), and an increase in working capital stemming from an increase in accounts receivable partly offset by the timing of disbursements. As of June 30, 2022, we had $0.3 million of cash and cash equivalents, with a principal balance of $123.9 million outstanding on our term loan. Borrowing base availability under the ABL was $300.0 million, with $85.0 million of borrowings drawn under our ABL, and $17.5 million of undrawn letters of credit outstanding, leaving $197.5 million of excess availability.</w:t>
      </w: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second quarter of 2022, given positive cash from operations, we made a $50.0 million optional prepayment on our term loan to reduce interest costs. We paid a prepayment premium of $0.5 million pursuant to the Term Loan Agreement and, as a result of the early prepayment, wrote off debt issuance costs of $1.4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r>
      <w:tr>
        <w:trPr>
          <w:trHeight w:val="169"/>
        </w:trPr>
        <w:tc>
          <w:tcPr>
            <w:tcW w:w="352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69"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r>
      <w:tr>
        <w:trPr>
          <w:trHeight w:val="175"/>
        </w:trPr>
        <w:tc>
          <w:tcPr>
            <w:tcW w:w="3520" w:type="dxa"/>
            <w:vAlign w:val="bottom"/>
          </w:tcPr>
          <w:p>
            <w:pPr>
              <w:spacing w:after="0"/>
              <w:rPr>
                <w:sz w:val="15"/>
                <w:szCs w:val="15"/>
                <w:color w:val="auto"/>
              </w:rPr>
            </w:pPr>
          </w:p>
        </w:tc>
        <w:tc>
          <w:tcPr>
            <w:tcW w:w="7680" w:type="dxa"/>
            <w:vAlign w:val="bottom"/>
          </w:tcPr>
          <w:p>
            <w:pPr>
              <w:ind w:left="1540"/>
              <w:spacing w:after="0" w:line="176"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r>
      <w:tr>
        <w:trPr>
          <w:trHeight w:val="184"/>
        </w:trPr>
        <w:tc>
          <w:tcPr>
            <w:tcW w:w="35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r>
      <w:tr>
        <w:trPr>
          <w:trHeight w:val="184"/>
        </w:trPr>
        <w:tc>
          <w:tcPr>
            <w:tcW w:w="3520" w:type="dxa"/>
            <w:vAlign w:val="bottom"/>
          </w:tcPr>
          <w:p>
            <w:pPr>
              <w:spacing w:after="0"/>
              <w:rPr>
                <w:sz w:val="16"/>
                <w:szCs w:val="16"/>
                <w:color w:val="auto"/>
              </w:rPr>
            </w:pPr>
          </w:p>
        </w:tc>
        <w:tc>
          <w:tcPr>
            <w:tcW w:w="7680" w:type="dxa"/>
            <w:vAlign w:val="bottom"/>
          </w:tcPr>
          <w:p>
            <w:pPr>
              <w:ind w:left="1540"/>
              <w:spacing w:after="0" w:line="184"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88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72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(benefits) costs</w:t>
            </w: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June 30, 2022 compared to the Three Months Ended June 30, 2021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360" w:type="dxa"/>
            <w:vAlign w:val="bottom"/>
            <w:tcBorders>
              <w:bottom w:val="single" w:sz="8" w:color="auto"/>
            </w:tcBorders>
          </w:tcPr>
          <w:p>
            <w:pPr>
              <w:spacing w:after="0"/>
              <w:rPr>
                <w:sz w:val="20"/>
                <w:szCs w:val="20"/>
                <w:color w:val="auto"/>
              </w:rPr>
            </w:pPr>
          </w:p>
        </w:tc>
      </w:tr>
      <w:tr>
        <w:trPr>
          <w:trHeight w:val="174"/>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753,561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421,734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58.3 %</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(benefits)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62,936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397.4 %</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532.5 %</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jc w:val="both"/>
        <w:ind w:right="140"/>
        <w:spacing w:after="0" w:line="250" w:lineRule="auto"/>
        <w:rPr>
          <w:sz w:val="20"/>
          <w:szCs w:val="20"/>
          <w:color w:val="auto"/>
        </w:rPr>
      </w:pPr>
      <w:r>
        <w:rPr>
          <w:rFonts w:ascii="Times New Roman" w:cs="Times New Roman" w:eastAsia="Times New Roman" w:hAnsi="Times New Roman"/>
          <w:sz w:val="18"/>
          <w:szCs w:val="18"/>
          <w:color w:val="auto"/>
        </w:rPr>
        <w:t>Revenue from services increased 127.1% to $753.6 million for the three months ended June 30, 2022, as compared to $331.8 million for the three months ended June 30, 2021, due to strong performance in both our Nurse and Allied Staffing and Physician Staffing segments, primarily driven by an increase in the number of professionals on assignment, as well as higher bill rates in Nurse and Allied.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Direct operating expenses are comprised primarily of field employee compensation and independent contractor expenses, housing expenses, travel expenses, and related insurance expenses. Direct operating expenses increased $323.9 million, or 125.0%, to $583.2 million for the three months ended June 30, 2022, as compared to $259.2 million for the three months ended June 30, 2021, as a result of revenue increases. As a percentage of total revenue, direct operating expenses decreased to 77.4% compared to 78.1%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70.8% to $86.0 million for the three months ended June 30, 2022, as compared to $50.3 million for the three months ended June 30, 2021, primarily due to increases in compensation and benefit expense, as well as marketing and consulting expense and computer subscription fees. As a percentage of total revenue, selling, general and administrative expenses decreased to 11.4% for the three months ended June 30, 2022, as compared to 15.2% for the three months ended June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June 30, 2022 was $3.5 million, as compared to $2.2 million for the three months ended June 30, 2021. The increase is primarily due to the additional amortization of other intangible assets from the Workforce Solutions Group (WSG) and Selected acquisitions. See Note 7 - Goodwill, Trade Names, and Other Intangible Assets to our condensed consolidated financial statements. As a percentage of revenue, depreciation and amortization expense was 0.5% for the three months ended June 30, 2022 and 0.7% for the three months ended June 30,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Acquisition and integration-related costs for the three months ended June 30, 2021 include costs for legal and advisory fees for the WSG acquisition that closed on June 8, 2021. There were no such costs for the three months ended June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(benefits) costs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There was a restructuring benefit of $1.1 million for the three months ended June 30, 2022, associated with the early termination of one of the Company's corporate offices which was previously restructured, partially offset by employee termination costs. Restructuring costs for the three months ended June 30, 2021 were primarily comprised of employee termination costs and ongoing lease costs related to the Company's strategic reduction of its real estate footprint and totaled $0.8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Non-cash impairment charges totaled $1.9 million for the three months ended June 30, 2021, related to real estate restructuring activities. There were no such charges for the three months ended June 30, 2022. See Note 9 - Leases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expense was $3.9 million for the three months ended June 30, 2022, as compared to $1.2 million for the three months ended June 30, 2021, due to higher average borrowings and a higher effective interest rate. The effective interest rate on our borrowings was 6.8% and 4.1% for the three months ended June 30, 2022 and 2021,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for the three months ended June 30, 2022 consists of a prepayment premium and the write-off of debt issuance costs related to the optional prepayment on our term loan made in the second quarter of 2022. There were no such expenses for the three months ended June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other income, net includes a $1.1 million gain on lease termination as a result of the early termination of one of our corporate offices.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Income tax expense totaled $21.3 million for the three months ended June 30, 2022, compared to $3.4 million for the three months ended June 30, 2021. The increase in income tax expense was primarily driven by federal and state taxes as in the prior year there was a valuation allowance on substantially all of our domestic deferred tax assets.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Six Months Ended June 30, 2022 compared to the Six Months Ended June 30,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360" w:type="dxa"/>
            <w:vAlign w:val="bottom"/>
            <w:tcBorders>
              <w:bottom w:val="single" w:sz="8" w:color="auto"/>
            </w:tcBorders>
          </w:tcPr>
          <w:p>
            <w:pPr>
              <w:spacing w:after="0"/>
              <w:rPr>
                <w:sz w:val="20"/>
                <w:szCs w:val="20"/>
                <w:color w:val="auto"/>
              </w:rPr>
            </w:pPr>
          </w:p>
        </w:tc>
      </w:tr>
      <w:tr>
        <w:trPr>
          <w:trHeight w:val="169"/>
        </w:trPr>
        <w:tc>
          <w:tcPr>
            <w:tcW w:w="5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4"/>
        </w:trPr>
        <w:tc>
          <w:tcPr>
            <w:tcW w:w="5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8"/>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(Amounts in thousands)</w:t>
            </w:r>
          </w:p>
        </w:tc>
        <w:tc>
          <w:tcPr>
            <w:tcW w:w="1360" w:type="dxa"/>
            <w:vAlign w:val="bottom"/>
          </w:tcPr>
          <w:p>
            <w:pPr>
              <w:spacing w:after="0"/>
              <w:rPr>
                <w:sz w:val="18"/>
                <w:szCs w:val="18"/>
                <w:color w:val="auto"/>
              </w:rPr>
            </w:pPr>
          </w:p>
        </w:tc>
      </w:tr>
      <w:tr>
        <w:trPr>
          <w:trHeight w:val="231"/>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1,542,293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881,225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680,081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473.3 %</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39.3 %</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(benefits)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132,574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359.3 %</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357.3 %</w:t>
            </w:r>
          </w:p>
        </w:tc>
      </w:tr>
      <w:tr>
        <w:trPr>
          <w:trHeight w:val="229"/>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42,121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985.7 %</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Revenue from services increased 133.3% to $1.5 billion for the six months ended June 30, 2022, as compared to $661.1 million for the six months ended June 30, 2021, due to strong performance in both our Nurse and Allied Staffing and Physician Staffing segments, primarily driven by an increase in the number of professionals on assignment, as well as higher bill rates in Nurse and Allied. See further discussion in Segment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Direct operating expenses increased $680.1 million, or 131.5%, to $1.2 billion for the six months ended June 30, 2022, as compared to $517.0 million for the six months ended June 30, 2021 as a result of revenue increases. As a percentage of total revenue, direct operating expenses decreased to 77.6% compared to 78.2%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68.4% to $162.8 million for the six months ended June 30, 2022, as compared to $96.7 million for the six months ended June 30, 2021, primarily due to increases in compensation and benefits, as well as marketing and consulting expense and computer subscription fees, partially offset by decreases in legal expenses. As a percentage of total revenue, selling, general and administrative expenses decreased to 10.5% for the six months ended June 30, 2022 as compared to 14.6% for the six months ended June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4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the six months ended June 30, 2022 was $6.2 million as compared to $4.5 million for the six months ended June 30, 2021. The increase is primarily due to the additional amortization of other intangible assets from the WSG and Selected acquisitions. See Note 7 - Goodwill, Trade Names, and Other Intangible Assets to our condensed consolidated financial statements. As a percentage of revenue, depreciation and amortization expense was 0.4% for the six months ended June 30, 2022 and 0.7%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Acquisition and integration-related costs for the six months ended June 30, 2022 include an immaterial amount of legal, professional, and advisory fees for the Selected acquisition that closed late in the fourth quarter of 2021. Acquisition and integration-related costs for the six months ended June 30, 2021 include costs for legal and advisory fees for the WSG acquisition that closed on June 8,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(benefits) costs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There was a restructuring benefit of $0.6 million for the six months ended June 30, 2022, associated with the early termination of one of the Company's corporate offices which was previously restructured, partially offset by ongoing lease costs and employee termination costs. Restructuring costs for the six months ended June 30, 2021 were primarily comprised of employee termination costs and ongoing lease costs related to the Company's strategic reduction of its real estate footprint and totaled $2.1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Non-cash impairment charges totaled $1.7 million for the six months ended June 30, 2022 and related to real estate activities. Non-cash impairment charges totaled $2.1 million for the six months ended June 30, 2021 and related to real estate restructuring activities and the write-off of a discontinued software development project. See Note 7 - Goodwill, Trade Names, and Other Intangible Assets and Note 9 - Leases to our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Interest expense was $7.4 million for the six months ended June 30, 2022 as compared to $1.9 million for the six months ended June 30, 2021, due to higher average borrowings and a higher effective interest rate. The effective interest rate on our borrowings was 6.6% for the six months ended June 30, 2022 compared to 3.1% for the six months ended June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56"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Loss on early extinguishment of debt for the six months ended June 30, 2022 consists of a prepayment premium and the write-off of debt issuance costs related to the optional prepayment on our term loan made in the second quarter of 2022. There were no such expenses for the six months ended June 30,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56" w:lineRule="exact"/>
        <w:rPr>
          <w:sz w:val="20"/>
          <w:szCs w:val="20"/>
          <w:color w:val="auto"/>
        </w:rPr>
      </w:pPr>
    </w:p>
    <w:p>
      <w:pPr>
        <w:jc w:val="both"/>
        <w:ind w:right="2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other income, net includes a $1.1 million gain on lease termination as a result of the early termination of one of our corporate offices.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Income tax expense was $46.4 million for the six months ended June 30, 2022 as compared to $4.3 million for the six months ended June 30, 2021. The increase in income tax expense was primarily driven by federal and state taxes as in the prior year there was a valuation allowance on substantially all of our domestic deferred tax assets. See Note 14 - Income Taxes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53"/>
        </w:trPr>
        <w:tc>
          <w:tcPr>
            <w:tcW w:w="9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Information on operating segments and a reconciliation to income from operations for the periods indicated are as follows: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1"/>
                <w:szCs w:val="21"/>
                <w:color w:val="auto"/>
              </w:rPr>
            </w:pPr>
          </w:p>
        </w:tc>
        <w:tc>
          <w:tcPr>
            <w:tcW w:w="26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7"/>
        </w:trPr>
        <w:tc>
          <w:tcPr>
            <w:tcW w:w="12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auto"/>
              </w:rPr>
              <w:t>(amounts in thousands)</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2"/>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731,443</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316,188</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1,497,023</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629,196</w:t>
            </w:r>
          </w:p>
        </w:tc>
      </w:tr>
      <w:tr>
        <w:trPr>
          <w:trHeight w:val="229"/>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31,872</w:t>
            </w:r>
          </w:p>
        </w:tc>
      </w:tr>
      <w:tr>
        <w:trPr>
          <w:trHeight w:val="223"/>
        </w:trPr>
        <w:tc>
          <w:tcPr>
            <w:tcW w:w="12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753,561</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331,827</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1,542,293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661,068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207,668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72,701</w:t>
            </w:r>
          </w:p>
        </w:tc>
      </w:tr>
      <w:tr>
        <w:trPr>
          <w:trHeight w:val="229"/>
        </w:trPr>
        <w:tc>
          <w:tcPr>
            <w:tcW w:w="4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3"/>
        </w:trPr>
        <w:tc>
          <w:tcPr>
            <w:tcW w:w="128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210,653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74,691</w:t>
            </w:r>
          </w:p>
        </w:tc>
      </w:tr>
      <w:tr>
        <w:trPr>
          <w:trHeight w:val="270"/>
        </w:trPr>
        <w:tc>
          <w:tcPr>
            <w:tcW w:w="4180" w:type="dxa"/>
            <w:vAlign w:val="bottom"/>
            <w:gridSpan w:val="2"/>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r>
      <w:tr>
        <w:trPr>
          <w:trHeight w:val="230"/>
        </w:trPr>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w:t>
            </w:r>
          </w:p>
        </w:tc>
      </w:tr>
      <w:tr>
        <w:trPr>
          <w:trHeight w:val="229"/>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4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(benefits) costs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30"/>
        </w:trPr>
        <w:tc>
          <w:tcPr>
            <w:tcW w:w="4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r>
      <w:tr>
        <w:trPr>
          <w:trHeight w:val="22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78,837</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169,469</w:t>
            </w: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36,895</w:t>
            </w:r>
          </w:p>
        </w:tc>
      </w:tr>
      <w:tr>
        <w:trPr>
          <w:trHeight w:val="21"/>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FTEs</w:t>
            </w:r>
          </w:p>
        </w:tc>
        <w:tc>
          <w:tcPr>
            <w:tcW w:w="2000" w:type="dxa"/>
            <w:vAlign w:val="bottom"/>
            <w:tcBorders>
              <w:top w:val="single" w:sz="8" w:color="CCEEFF"/>
            </w:tcBorders>
            <w:gridSpan w:val="2"/>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13,494</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7,578</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5,916</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78.1 %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00" w:type="dxa"/>
            <w:vAlign w:val="bottom"/>
            <w:tcBorders>
              <w:bottom w:val="single" w:sz="8" w:color="CCEEFF"/>
            </w:tcBorders>
            <w:gridSpan w:val="4"/>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9,775</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4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auto"/>
            </w:tcBorders>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 (a)</w:t>
            </w:r>
          </w:p>
        </w:tc>
        <w:tc>
          <w:tcPr>
            <w:tcW w:w="17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FTEs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25.3 %</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4860" w:type="dxa"/>
            <w:vAlign w:val="bottom"/>
            <w:gridSpan w:val="5"/>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 (a)</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280" w:type="dxa"/>
            <w:vAlign w:val="bottom"/>
            <w:tcBorders>
              <w:top w:val="single" w:sz="8" w:color="CCEEFF"/>
            </w:tcBorders>
            <w:gridSpan w:val="3"/>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25,484</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19,244</w:t>
            </w:r>
          </w:p>
        </w:tc>
        <w:tc>
          <w:tcPr>
            <w:tcW w:w="24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6,240</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32.4 %</w:t>
            </w:r>
          </w:p>
        </w:tc>
      </w:tr>
      <w:tr>
        <w:trPr>
          <w:trHeight w:val="219"/>
        </w:trPr>
        <w:tc>
          <w:tcPr>
            <w:tcW w:w="20" w:type="dxa"/>
            <w:vAlign w:val="bottom"/>
            <w:shd w:val="clear" w:color="auto" w:fill="CCEEFF"/>
          </w:tcPr>
          <w:p>
            <w:pPr>
              <w:spacing w:after="0"/>
              <w:rPr>
                <w:sz w:val="19"/>
                <w:szCs w:val="19"/>
                <w:color w:val="auto"/>
              </w:rPr>
            </w:pPr>
          </w:p>
        </w:tc>
        <w:tc>
          <w:tcPr>
            <w:tcW w:w="48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our MD&amp;A.</w:t>
      </w:r>
    </w:p>
    <w:p>
      <w:pPr>
        <w:sectPr>
          <w:pgSz w:w="11900" w:h="16838" w:orient="portrait"/>
          <w:cols w:equalWidth="0" w:num="1">
            <w:col w:w="11240"/>
          </w:cols>
          <w:pgMar w:left="320" w:top="8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June 30, 2022 compared to the Three Months Ended June 30,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Revenue increased $415.2 million, or 131.3%, to $731.4 million for the three months ended June 30, 2022, compared to $316.2 million for the three months ended June 30, 2021, through strong performance driven by volume increases and higher bill rates.</w:t>
      </w:r>
    </w:p>
    <w:p>
      <w:pPr>
        <w:spacing w:after="0" w:line="14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Contribution income increased $62.3 million, or 176.5%, to $97.6 million for the three months ended June 30, 2022, compared to $35.3 million for the three months ended June 30, 2021, driven by increased revenue and lower costs. As a percentage of segment revenue, contribution income margin was 13.3% for the three months ended June 30, 2022, compared to 11.2% for the three months ended June 30, 2021.</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June 30, 2022 increased 78.1% from the three months ended June 30, 2021, primarily due to headcount growth in travel nurse and allied, as well as additional headcount resulting from the WSG acquisition. The average revenue per FTE per day increased 30.2%, due to the increase in the average bill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Revenue increased $6.5 million, or 41.4%, to $22.1 million for the three months ended June 30, 2022, compared to $15.6 million for the three months ended June 30, 2021, primarily due to an increase in volume in both primary care physicians and certified registered nurse anesthetists.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Contribution income was $1.2 million for the three months ended June 30, 2022, compared to $0.6 million for the three months ended June 30, 2021. As a percentage of segment revenue, contribution income was 5.5% for the three months ended June 30, 2022, compared to 3.6% for the three months ended June 30, 2021, driven by higher revenue and lower costs.</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June 30, 2022 were 12,416, as compared with 9,775 in the prior year. Revenue per day filled was $1,781 as compared with $1,600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human resources, and marketing, as well as public company expenses and corporate-wide projects. Corporate overhead increased to $17.6 million for the three months ended June 30, 2022, from $14.1 million for the three months ended June 30, 2021, primarily due to increases in compensation and benefit expense, as well as IT and consulting expense. As a percentage of consolidated revenue, corporate overhead was 2.3% for the three months ended June 30, 2022 and 4.2% for the three months ended June 30,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Six Months Ended June 30, 2022 compared to the Six Months Ended June 30, 2021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increased $867.8 million, or 137.9%, to $1.5 billion for the six months ended June 30, 2022, compared to $629.2 million for the six months ended June 30, 2021, through strong performance driven by volume increases and higher bill rates.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Contribution income increased $135.0 million, or 185.6%, to $207.7 million for the six months ended June 30, 2022, compared to $72.7 million for the six months ended June 30, 2021, driven by increased revenue and lower costs. As a percentage of segment revenue, contribution income margin was 13.9% for the six months ended June 30, 2022, compared to 11.6% for the six months ended June 30, 2021.</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average number of FTEs on contract during the six months ended June 30, 2022 increased 89.9% from the six months ended June 30, 2021, primarily due to headcount growth in travel nurse and allied, as well as additional headcount resulting from the WSG acquisition. The average revenue per FTE per day increased 25.3%, due to the increase in the average bill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Revenue increased $13.4 million, or 42.0%, to $45.3 million for the six months ended June 30, 2022, compared to $31.9 million for the six months ended June 30, 2021, primarily due to an increase in volume in both primary care physicians and certified registered nurse anesthetists.</w:t>
      </w:r>
    </w:p>
    <w:p>
      <w:pPr>
        <w:sectPr>
          <w:pgSz w:w="11900" w:h="16838" w:orient="portrait"/>
          <w:cols w:equalWidth="0" w:num="1">
            <w:col w:w="11220"/>
          </w:cols>
          <w:pgMar w:left="320" w:top="883"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type w:val="continuous"/>
        </w:sectPr>
      </w:pPr>
    </w:p>
    <w:bookmarkStart w:id="35" w:name="page36"/>
    <w:bookmarkEnd w:id="35"/>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Contribution income was $3.0 million for the six months ended June 30, 2022, compared to $2.0 million for the six months ended June 30, 2021. As a percentage of segment revenue, contribution income was 6.6% for the six months ended June 30, 2022, compared to 6.2% for the six months ended June 30, 2021, driven by higher revenue, partially offset by higher direct costs.</w:t>
      </w:r>
    </w:p>
    <w:p>
      <w:pPr>
        <w:spacing w:after="0" w:line="20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Total days filled for the six months ended June 30, 2022 were 25,484, as compared with 19,244 in the prior year. Revenue per day filled was $1,776 as compared with $1,656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overhead increased to $33.8 million for the six months ended June 30, 2022, from $28.3 million for the six months ended June 30, 2021, primarily due to increases in compensation and benefit expense, as well as IT and consulting expense, partially offset by decreases in legal and accounting expense. As a percentage of consolidated revenue, corporate overhead was 2.2% for the six months ended June 30, 2022 and 4.3% for the six months ended June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At June 30, 2022, we reported $0.3 million in cash and cash equivalents, $123.9 million of term loan outstanding, at par, and $85.0 million of borrowings drawn under our ABL. Working capital increased by $141.2 million to $449.7 million as of June 30, 2022, compared to $308.5 million as of December 31, 2021, primarily due to an increase in accounts receivable, partially offset by the timing of disbursements. As of June 30, 2022, our days' sales outstanding, net of amounts owed to subcontractors, was 66 days, up 10 days year-over-year and up 4 days sequentially, primarily due to the timing of revenue recognized throughout the year. As of June 30, 2022, we do not have any off-balance sheet arrangements.</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and operating lease commitments, and future principal payments on our term loan and our ABL credit facility. We expect to meet our future needs from a combination of cash on hand, operating cash flows, and funds available through the ABL. See debt discussion which follows.</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an effective “shelf” registration statement on Form S-3 on file with the SEC that enables us, in one or more offerings, to sell up to an aggregate of 5,000,000 shares of common stock. Although we do not have any current plans to use the shelf registration statement, the proceeds from any offering could be used for working capital and other general corporate purposes, or to fund acquisitions of businesses, products, and technologies.</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$10.9 million in the six months ended June 30, 2022, compared to $9.4 million in the six months ended June 30, 2021, primarily due to the continued investment in net working capital associated with the revenue growth in our business, which resulted in a $215.2 million increase in receivables since the start of the year.</w:t>
      </w: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was $3.8 million in the six months ended June 30, 2022, compared to $27.5 million in the six months ended June 30, 2021. Net cash used in the six months ended June 30, 2022 was for capital expenditures, primarily related to multiple IT projects. Net cash used in the six months ended June 30, 2021 included $24.5 million related to the acquisition of WSG, as well as capital expenditures and the build-out of our corporate office.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was $14.0 million, compared to $53.4 million during the six months ended June 30, 2021. During the six months ended June 30, 2022, we reported net borrowings of $75.8 million on our ABL, and used cash to repay borrowings of $50.4 million on our term loan, $2.4 million on our note payable, $5.3 million for income taxes on share-based compensation, $3.2 million in debt issuance costs, and an immaterial amount for other financing activities. During the six months ended June 30, 2021, we reported net borrowings of $100.0 million on our term loan, and used cash to repay borrowing on our ABL of $37.5 million, $2.4 million on our note payable, $4.5 million of debt issuance costs, $2.2 million for income taxes on share-based compensation, and an immaterial amount for other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Term Loan Credit Agreement</w:t>
      </w:r>
    </w:p>
    <w:p>
      <w:pPr>
        <w:spacing w:after="0" w:line="3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more fully described in Note 8 - Debt to our condensed consolidated financial statements, on June 8, 2021, we entered into a Term Loan Credit Agreement (Term Loan Agreement), which provides for a six-year second lien subordinated term loan in the amount of $100.0 million (term loan). The term loan has an interest rate of one-month London Inter-Bank Offered Rate (LIBOR) plus 5.75% per annum, subject to a 0.75% LIBOR floor. The term loan was used to pay the cash consideration, as well as any costs, fees, and expenses in connection with the WSG acquisition (see Note 4 - Acquisitions to our condensed consolidated financial statements), with the remainder used to pay down a portion of the asset-based credit facility.</w:t>
      </w:r>
    </w:p>
    <w:p>
      <w:pPr>
        <w:spacing w:after="0" w:line="2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June 30, 2022. Obligations under the Term Loan Agreement are secured by substantially all the assets of the borrowers and guarantors under the Term Loan Agreement, subject to customary exceptions.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18, 2021, we amended the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will be used primarily to fund organic growth. Commencing on December 31, 2021, installments of the mandatory prepayments will be in the aggregate principal amount of $0.4 million. All other terms, conditions, covenants, and pricing of the Term Loan Agreement remain the same.</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Aside from our scheduled payments, on June 23, 2022, we made an optional prepayment of $50.0 million, and paid a prepayment premium of $0.5 million pursuant to the Term Loan Agreement. As a result of the early prepayment, debt issuance costs of $1.4 million were written off in the three months ended June 30, 2022. The prepayment premium and the write-off of debt issuance costs are included as loss on early extinguishment of debt in the condensed consolidated statements of operations. We were entitled to determine the application of the prepayment, which was applied to all future amortization payments, with the balance applied to the remaining balloon payment in 2027.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Loan Agreement</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Effective October 25, 2019, our prior senior credit facility entered into in August 2017 was replaced by a $120.0 million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at the election of the borrowers, plus an applicable margin.</w:t>
      </w:r>
    </w:p>
    <w:p>
      <w:pPr>
        <w:spacing w:after="0" w:line="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As of June 30, 2022, the interest rate spreads and fees under the Loan Agreement were based on SOFR plus 1.60% for the revolving portion of the borrowing base. The Base Rate (as defined by the Loan Agreement) margin would have been 0.50% for the revolving portion. 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Loan Agreement contains various restrictions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7" w:name="page38"/>
    <w:bookmarkEnd w:id="37"/>
    <w:p>
      <w:pPr>
        <w:spacing w:after="0" w:line="266" w:lineRule="auto"/>
        <w:rPr>
          <w:sz w:val="20"/>
          <w:szCs w:val="20"/>
          <w:color w:val="auto"/>
        </w:rPr>
      </w:pPr>
      <w:r>
        <w:rPr>
          <w:rFonts w:ascii="Times New Roman" w:cs="Times New Roman" w:eastAsia="Times New Roman" w:hAnsi="Times New Roman"/>
          <w:sz w:val="18"/>
          <w:szCs w:val="18"/>
          <w:color w:val="auto"/>
        </w:rPr>
        <w:t>covenants, including a covenant to maintain a minimum fixed charge coverage ratio. We were in compliance with the fixed charge coverage ratio covenant as of June 30, 2022. Borrowing base availability under the ABL was $300.0 million at June 30, 2022, with $85.0 million of borrowings drawn as well as $17.5 million of letters of credit outstanding, leaving $197.5 million of excess availability.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 Stockholders' Equity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2021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with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15 - Related Party Transactions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16 -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8" w:name="page39"/>
    <w:bookmarkEnd w:id="3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Term Loan Agreement entered into on June 8, 2021 and our Loan Agreement entered into on October 25, 2019. These agreements charge interest at a rate based on either SOFR, LIBOR, or Base Rate (as defined in the agreements) plus an applicable margin.</w:t>
      </w:r>
    </w:p>
    <w:p>
      <w:pPr>
        <w:spacing w:after="0" w:line="20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1% change in interest rates would have resulted in interest expense fluctuating approximately $1.0 million and $0.5 million for the six months ended June 30, 2022 and 2021, respectively. See Note 8 - Debt to our condensed consolidated financial statements.</w:t>
      </w:r>
    </w:p>
    <w:p>
      <w:pPr>
        <w:spacing w:after="0" w:line="18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color w:val="auto"/>
        </w:rPr>
        <w:t xml:space="preserve">Refer to our 2021 Form 10-K Item 1A. Risk Factors under </w:t>
      </w:r>
      <w:r>
        <w:rPr>
          <w:rFonts w:ascii="Times New Roman" w:cs="Times New Roman" w:eastAsia="Times New Roman" w:hAnsi="Times New Roman"/>
          <w:sz w:val="18"/>
          <w:szCs w:val="18"/>
          <w:i w:val="1"/>
          <w:iCs w:val="1"/>
          <w:color w:val="auto"/>
        </w:rPr>
        <w:t>"The interest rates under our Term Loan Agreement and our ABL Credit Agreement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impacted by the phase-out of LIBOR" </w:t>
      </w:r>
      <w:r>
        <w:rPr>
          <w:rFonts w:ascii="Times New Roman" w:cs="Times New Roman" w:eastAsia="Times New Roman" w:hAnsi="Times New Roman"/>
          <w:sz w:val="18"/>
          <w:szCs w:val="18"/>
          <w:color w:val="auto"/>
        </w:rPr>
        <w:t>for discussion of the interest rate risk related to the continued phase-out of LIBOR.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2021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 </w:t>
      </w:r>
      <w:r>
        <w:rPr>
          <w:rFonts w:ascii="Times New Roman" w:cs="Times New Roman" w:eastAsia="Times New Roman" w:hAnsi="Times New Roman"/>
          <w:sz w:val="18"/>
          <w:szCs w:val="18"/>
          <w:color w:val="212529"/>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not experienced any material impact to our internal controls over financial reporting despite the fact that most of our employees are working remotely due to the COVID pandemic.</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39" w:name="page40"/>
    <w:bookmarkEnd w:id="3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12"/>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Offer Letter by and between Cross Country Healthcare, Inc. and Daniel J. White, dated as of April 5, 2022 (Previously filed as an</w:t>
              </w:r>
            </w:hyperlink>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exhibit to the Company's Form 10-Q for the quarter ended March 31, 2022 and incorporated by reference</w:t>
              </w:r>
            </w:hyperlink>
          </w:p>
        </w:tc>
        <w:tc>
          <w:tcPr>
            <w:tcW w:w="1600" w:type="dxa"/>
            <w:vAlign w:val="bottom"/>
            <w:tcBorders>
              <w:top w:val="single" w:sz="8" w:color="0000FF"/>
            </w:tcBorders>
            <w:gridSpan w:val="4"/>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herein)</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9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by John A. Martins, President, Chief Executive Officer, Director</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(Principal Executive Officer)</w:t>
            </w:r>
          </w:p>
        </w:tc>
        <w:tc>
          <w:tcPr>
            <w:tcW w:w="6920" w:type="dxa"/>
            <w:vAlign w:val="bottom"/>
            <w:tcBorders>
              <w:top w:val="single" w:sz="8" w:color="0000FF"/>
            </w:tcBorders>
            <w:gridSpan w:val="6"/>
          </w:tcPr>
          <w:p>
            <w:pPr>
              <w:spacing w:after="0"/>
              <w:rPr>
                <w:sz w:val="13"/>
                <w:szCs w:val="13"/>
                <w:color w:val="auto"/>
              </w:rPr>
            </w:pPr>
          </w:p>
        </w:tc>
        <w:tc>
          <w:tcPr>
            <w:tcW w:w="4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by William J. Burns, Executive Vice President, Chief Financial Officer</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(Principal Accounting and Financial Officer)</w:t>
            </w:r>
          </w:p>
        </w:tc>
        <w:tc>
          <w:tcPr>
            <w:tcW w:w="624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John A. Martins, President, Chief Executive Officer, Director (Principal</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Executive Officer)</w:t>
            </w:r>
          </w:p>
        </w:tc>
        <w:tc>
          <w:tcPr>
            <w:tcW w:w="460" w:type="dxa"/>
            <w:vAlign w:val="bottom"/>
            <w:gridSpan w:val="3"/>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William J. Burns, Executive Vice President, Chief Financial Officer (Principal</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Accounting and Financial Officer)</w:t>
            </w:r>
          </w:p>
        </w:tc>
        <w:tc>
          <w:tcPr>
            <w:tcW w:w="220" w:type="dxa"/>
            <w:vAlign w:val="bottom"/>
            <w:gridSpan w:val="2"/>
          </w:tcPr>
          <w:p>
            <w:pPr>
              <w:spacing w:after="0"/>
              <w:rPr>
                <w:sz w:val="13"/>
                <w:szCs w:val="13"/>
                <w:color w:val="auto"/>
              </w:rPr>
            </w:pPr>
          </w:p>
        </w:tc>
      </w:tr>
      <w:tr>
        <w:trPr>
          <w:trHeight w:val="318"/>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2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160" w:type="dxa"/>
            <w:vAlign w:val="bottom"/>
            <w:gridSpan w:val="9"/>
          </w:tcPr>
          <w:p>
            <w:pPr>
              <w:spacing w:after="0"/>
              <w:rPr>
                <w:sz w:val="24"/>
                <w:szCs w:val="24"/>
                <w:color w:val="auto"/>
              </w:rPr>
            </w:pP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1" w:name="page42"/>
    <w:bookmarkEnd w:id="4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August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 (Principal</w:t>
      </w:r>
    </w:p>
    <w:p>
      <w:pPr>
        <w:ind w:left="6200"/>
        <w:spacing w:after="0"/>
        <w:rPr>
          <w:sz w:val="20"/>
          <w:szCs w:val="20"/>
          <w:color w:val="auto"/>
        </w:rPr>
      </w:pPr>
      <w:r>
        <w:rPr>
          <w:rFonts w:ascii="Times New Roman" w:cs="Times New Roman" w:eastAsia="Times New Roman" w:hAnsi="Times New Roman"/>
          <w:sz w:val="18"/>
          <w:szCs w:val="18"/>
          <w:color w:val="auto"/>
        </w:rPr>
        <w:t>Accounting and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320" w:top="887" w:right="5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4, 2022</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4, 2022</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Accounting and Financial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the accompanying Quarterly Report on Form 10-Q of Cross Country Healthcare, Inc. (the Company) for the quarterly period ended June 30, 2022, (the "Periodic Report"), I, John A. Martins, President and Chief Executive Officer of the Company, hereby certify pursuant to</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26"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August 4, 2022</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203190" cy="8890"/>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2022,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4, 2022</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220335" cy="8890"/>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Accounting and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lowerRoman"/>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Roman"/>
      <w:start w:val="1"/>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0" Type="http://schemas.openxmlformats.org/officeDocument/2006/relationships/hyperlink" Target="https://www.sec.gov/Archives/edgar/data/1141103/000162828022012463/ccrn20220331-10qex10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2022-08-04T08:36:49Z</dcterms:created>
  <dcterms:modified xsi:type="dcterms:W3CDTF">2022-08-04T08:36:49Z</dcterms:modified>
</cp:coreProperties>
</file>