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808990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ind w:left="3920" w:right="2180" w:hanging="1699"/>
        <w:spacing w:after="0" w:line="344" w:lineRule="auto"/>
        <w:tabs>
          <w:tab w:leader="none" w:pos="241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63"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154940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476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0"/>
                <w:szCs w:val="20"/>
                <w:color w:val="auto"/>
              </w:rPr>
            </w:pPr>
          </w:p>
        </w:tc>
      </w:tr>
      <w:tr>
        <w:trPr>
          <w:trHeight w:val="364"/>
        </w:trPr>
        <w:tc>
          <w:tcPr>
            <w:tcW w:w="26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Delaware</w:t>
            </w: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0-33169</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13-4066229</w:t>
            </w:r>
          </w:p>
        </w:tc>
      </w:tr>
      <w:tr>
        <w:trPr>
          <w:trHeight w:val="256"/>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3"/>
              </w:rPr>
              <w:t>(State or other jurisdiction of</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88"/>
              </w:rPr>
              <w:t>Commission</w:t>
            </w:r>
          </w:p>
        </w:tc>
        <w:tc>
          <w:tcPr>
            <w:tcW w:w="222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4"/>
              </w:rPr>
              <w:t>Incorporation or organization)</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4"/>
              </w:rPr>
              <w:t>file number</w:t>
            </w:r>
          </w:p>
        </w:tc>
        <w:tc>
          <w:tcPr>
            <w:tcW w:w="222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Identification Number)</w:t>
            </w:r>
          </w:p>
        </w:tc>
      </w:tr>
      <w:tr>
        <w:trPr>
          <w:trHeight w:val="333"/>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5201 Congress Avenue, Suite 100B</w:t>
            </w:r>
          </w:p>
        </w:tc>
        <w:tc>
          <w:tcPr>
            <w:tcW w:w="2220" w:type="dxa"/>
            <w:vAlign w:val="bottom"/>
          </w:tcPr>
          <w:p>
            <w:pPr>
              <w:spacing w:after="0"/>
              <w:rPr>
                <w:sz w:val="24"/>
                <w:szCs w:val="24"/>
                <w:color w:val="auto"/>
              </w:rPr>
            </w:pPr>
          </w:p>
        </w:tc>
      </w:tr>
      <w:tr>
        <w:trPr>
          <w:trHeight w:val="220"/>
        </w:trPr>
        <w:tc>
          <w:tcPr>
            <w:tcW w:w="2620" w:type="dxa"/>
            <w:vAlign w:val="bottom"/>
          </w:tcPr>
          <w:p>
            <w:pPr>
              <w:spacing w:after="0"/>
              <w:rPr>
                <w:sz w:val="19"/>
                <w:szCs w:val="19"/>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Boca Raton, Florida 33487</w:t>
            </w:r>
          </w:p>
        </w:tc>
        <w:tc>
          <w:tcPr>
            <w:tcW w:w="2220" w:type="dxa"/>
            <w:vAlign w:val="bottom"/>
          </w:tcPr>
          <w:p>
            <w:pPr>
              <w:spacing w:after="0"/>
              <w:rPr>
                <w:sz w:val="19"/>
                <w:szCs w:val="19"/>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2220" w:type="dxa"/>
            <w:vAlign w:val="bottom"/>
          </w:tcPr>
          <w:p>
            <w:pPr>
              <w:spacing w:after="0"/>
              <w:rPr>
                <w:sz w:val="20"/>
                <w:szCs w:val="20"/>
                <w:color w:val="auto"/>
              </w:rPr>
            </w:pPr>
          </w:p>
        </w:tc>
      </w:tr>
      <w:tr>
        <w:trPr>
          <w:trHeight w:val="310"/>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(561) 998-2232</w:t>
            </w:r>
          </w:p>
        </w:tc>
        <w:tc>
          <w:tcPr>
            <w:tcW w:w="222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22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0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36,494,303 shares of Common Stock, par value $0.0001 per share, as of July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390"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2016,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00"/>
              <w:spacing w:after="0"/>
              <w:rPr>
                <w:sz w:val="20"/>
                <w:szCs w:val="20"/>
                <w:color w:val="auto"/>
              </w:rPr>
            </w:pPr>
            <w:r>
              <w:rPr>
                <w:rFonts w:ascii="Arial" w:cs="Arial" w:eastAsia="Arial" w:hAnsi="Arial"/>
                <w:sz w:val="18"/>
                <w:szCs w:val="18"/>
                <w:b w:val="1"/>
                <w:bCs w:val="1"/>
                <w:color w:val="auto"/>
                <w:w w:val="88"/>
              </w:rPr>
              <w:t>June 30, 2017</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80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$3,280 in 2017 and $3,245 in 2016</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155,903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173,620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200,515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205,611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$45,364 in 2017 and $43,141 in 2016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79,648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79,648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 names, 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34,690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36,835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18,064</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382,490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388,378</w:t>
            </w:r>
          </w:p>
        </w:tc>
      </w:tr>
      <w:tr>
        <w:trPr>
          <w:trHeight w:val="230"/>
        </w:trPr>
        <w:tc>
          <w:tcPr>
            <w:tcW w:w="8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52,435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58,837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33,243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6,097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5,012</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97,092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and capital lease obligations, less current portion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35,344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84,760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Non-current 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accrued claims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29,066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28,870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7,399</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180,842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236,576</w:t>
            </w:r>
          </w:p>
        </w:tc>
      </w:tr>
      <w:tr>
        <w:trPr>
          <w:trHeight w:val="243"/>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256,570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(104,089)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200,954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151,243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201,648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151,802</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 and stockholders'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388,378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1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1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396,026</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152,785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144,597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307,083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290,134</w:t>
            </w:r>
          </w:p>
        </w:tc>
      </w:tr>
      <w:tr>
        <w:trPr>
          <w:trHeight w:val="27"/>
        </w:trPr>
        <w:tc>
          <w:tcPr>
            <w:tcW w:w="1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54,846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105,892</w:t>
            </w:r>
          </w:p>
        </w:tc>
      </w:tr>
      <w:tr>
        <w:trPr>
          <w:trHeight w:val="237"/>
        </w:trPr>
        <w:tc>
          <w:tcPr>
            <w:tcW w:w="1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87,608</w:t>
            </w:r>
          </w:p>
        </w:tc>
      </w:tr>
      <w:tr>
        <w:trPr>
          <w:trHeight w:val="243"/>
        </w:trPr>
        <w:tc>
          <w:tcPr>
            <w:tcW w:w="1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4,877</w:t>
            </w:r>
          </w:p>
        </w:tc>
      </w:tr>
      <w:tr>
        <w:trPr>
          <w:trHeight w:val="243"/>
        </w:trPr>
        <w:tc>
          <w:tcPr>
            <w:tcW w:w="1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Acquisition-related contingent consideration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Acquisition and integration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24,311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24,311</w:t>
            </w:r>
          </w:p>
        </w:tc>
      </w:tr>
      <w:tr>
        <w:trPr>
          <w:trHeight w:val="27"/>
        </w:trPr>
        <w:tc>
          <w:tcPr>
            <w:tcW w:w="1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117,743</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(17,016)</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(11,851)</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3,243</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Loss (gain) on derivative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(12,865)</w:t>
            </w:r>
          </w:p>
        </w:tc>
      </w:tr>
      <w:tr>
        <w:trPr>
          <w:trHeight w:val="243"/>
        </w:trPr>
        <w:tc>
          <w:tcPr>
            <w:tcW w:w="1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1,568</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(23,729)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4,621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(3,746)</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Consolidated net income (loss)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2,091</w:t>
            </w: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Net income attributable to 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97"/>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(17,237)</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1,785</w:t>
            </w:r>
          </w:p>
        </w:tc>
      </w:tr>
      <w:tr>
        <w:trPr>
          <w:trHeight w:val="311"/>
        </w:trPr>
        <w:tc>
          <w:tcPr>
            <w:tcW w:w="180" w:type="dxa"/>
            <w:vAlign w:val="bottom"/>
            <w:shd w:val="clear" w:color="auto" w:fill="CCEEFF"/>
          </w:tcPr>
          <w:p>
            <w:pPr>
              <w:spacing w:after="0"/>
              <w:rPr>
                <w:sz w:val="24"/>
                <w:szCs w:val="24"/>
                <w:color w:val="auto"/>
              </w:rPr>
            </w:pPr>
          </w:p>
        </w:tc>
        <w:tc>
          <w:tcPr>
            <w:tcW w:w="5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4"/>
              </w:rPr>
              <w:t>Net income (loss) per share attributable to common shareholders -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r>
      <w:tr>
        <w:trPr>
          <w:trHeight w:val="311"/>
        </w:trPr>
        <w:tc>
          <w:tcPr>
            <w:tcW w:w="180" w:type="dxa"/>
            <w:vAlign w:val="bottom"/>
            <w:shd w:val="clear" w:color="auto" w:fill="CCEEFF"/>
          </w:tcPr>
          <w:p>
            <w:pPr>
              <w:spacing w:after="0"/>
              <w:rPr>
                <w:sz w:val="24"/>
                <w:szCs w:val="24"/>
                <w:color w:val="auto"/>
              </w:rPr>
            </w:pPr>
          </w:p>
        </w:tc>
        <w:tc>
          <w:tcPr>
            <w:tcW w:w="5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2"/>
              </w:rPr>
              <w:t>Net income (loss) per share attributable to common shareholders -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311"/>
        </w:trPr>
        <w:tc>
          <w:tcPr>
            <w:tcW w:w="180" w:type="dxa"/>
            <w:vAlign w:val="bottom"/>
            <w:shd w:val="clear" w:color="auto" w:fill="CCEEFF"/>
          </w:tcPr>
          <w:p>
            <w:pPr>
              <w:spacing w:after="0"/>
              <w:rPr>
                <w:sz w:val="24"/>
                <w:szCs w:val="24"/>
                <w:color w:val="auto"/>
              </w:rPr>
            </w:pPr>
          </w:p>
        </w:tc>
        <w:tc>
          <w:tcPr>
            <w:tcW w:w="5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180" w:type="dxa"/>
            <w:vAlign w:val="bottom"/>
            <w:tcBorders>
              <w:bottom w:val="single" w:sz="8" w:color="CCEEFF"/>
            </w:tcBorders>
            <w:shd w:val="clear" w:color="auto" w:fill="CCEEFF"/>
          </w:tcPr>
          <w:p>
            <w:pPr>
              <w:spacing w:after="0"/>
              <w:rPr>
                <w:sz w:val="23"/>
                <w:szCs w:val="23"/>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32,021</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1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36,021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32,085</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36,250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36,194</w:t>
            </w:r>
          </w:p>
        </w:tc>
      </w:tr>
      <w:tr>
        <w:trPr>
          <w:trHeight w:val="20"/>
        </w:trPr>
        <w:tc>
          <w:tcPr>
            <w:tcW w:w="1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300" w:type="dxa"/>
            <w:vAlign w:val="bottom"/>
            <w:gridSpan w:val="6"/>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5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(loss)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5,220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w:t>
            </w:r>
          </w:p>
        </w:tc>
      </w:tr>
      <w:tr>
        <w:trPr>
          <w:trHeight w:val="297"/>
        </w:trPr>
        <w:tc>
          <w:tcPr>
            <w:tcW w:w="5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gain (loss)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5,244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2,064</w:t>
            </w:r>
          </w:p>
        </w:tc>
      </w:tr>
      <w:tr>
        <w:trPr>
          <w:trHeight w:val="27"/>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common shareholders</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4,874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(17,257)</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1,758</w:t>
            </w: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derivative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12,867</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Acquisition-related settlements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on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Extinguishment fees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33,936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10,229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(formerly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2017.</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2016 included in the Company’s Annual Report on Form 10-K as filed with the Securities and Exchange Commission. The December 31, 2016 condensed consolidated balance sheet included herein was derived from the December 31, 2016 audited consolidated balance sheet included in the Company’s Annual Report on Form 10-K.</w:t>
      </w:r>
    </w:p>
    <w:p>
      <w:pPr>
        <w:spacing w:after="0" w:line="183"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derivative liability;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2016, the Financial Accounting Standards Board (FASB) issued Accounting Standards Update (ASU) No. 2016-15,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t>
      </w:r>
      <w:r>
        <w:rPr>
          <w:rFonts w:ascii="Arial" w:cs="Arial" w:eastAsia="Arial" w:hAnsi="Arial"/>
          <w:sz w:val="16"/>
          <w:szCs w:val="16"/>
          <w:i w:val="1"/>
          <w:iCs w:val="1"/>
          <w:color w:val="auto"/>
        </w:rPr>
        <w:t>(Topic 230), Classification of Certain Cash Receipts and Cash Payments</w:t>
      </w:r>
      <w:r>
        <w:rPr>
          <w:rFonts w:ascii="Arial" w:cs="Arial" w:eastAsia="Arial" w:hAnsi="Arial"/>
          <w:sz w:val="16"/>
          <w:szCs w:val="16"/>
          <w:color w:val="auto"/>
        </w:rPr>
        <w:t>, which amends the guidance in ASC 230 on the classification of certain cash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and payments in the statement of cash flows. This update intended to reduce the diversity that has resulted from the lack of consistent principles on this topic by adding or clarifying guidance on eight cash flow issues, including: debt prepayment or debt extinguishment costs, contingent consideration payments made after a business combination, and separately identifiable cash flows and application of the predominance principle. ASU 2016-15 is effective for annual periods beginning after December 15, 2017, and interim periods within those annual periods. Early adoption was permitted. The Company elected to early adopt this standard in its first quarter of 2017, applying the guidance retrospectively with no material impact on its consolidated financial statements.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Company adopted this guidance in the first quarter of 2017. ASU 2016-09 eliminates the requirement to delay the recognition of excess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until they reduce current taxes payable. Required method of adoption is modified retrospective transition method. Upon adoption, previously unrecognized excess tax benefits of $1.3 million had no impact on the Company's accumulated deficit balance as the related deferred tax assets were fully offset by a valuation allowance. ASU 2016-09 also requires excess tax benefits and deficiencies to be recognized prospectively in the provision for income taxes rather than additional paid-in capital. As a result of the adoption, the Company's provision for income taxes was not impacted due to its full valuation allowance. Additionally, as permitted by the ASU, the Company elected to account for forfeitures as they occur rather than estimate expected forfeitures using a modified retrospective transition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ind w:right="40"/>
        <w:spacing w:after="0" w:line="290" w:lineRule="auto"/>
        <w:rPr>
          <w:sz w:val="20"/>
          <w:szCs w:val="20"/>
          <w:color w:val="auto"/>
        </w:rPr>
      </w:pPr>
      <w:r>
        <w:rPr>
          <w:rFonts w:ascii="Arial" w:cs="Arial" w:eastAsia="Arial" w:hAnsi="Arial"/>
          <w:sz w:val="16"/>
          <w:szCs w:val="16"/>
          <w:color w:val="auto"/>
        </w:rPr>
        <w:t>method. As a result, the Company recorded a cumulative-effect adjustment of $0.5 million to accumulated deficit and lower share-based compensation expense of $0.1 million compared to the amount of expense that would have been recorded for its first quarter of 2017. Share-based compensation expense compared to the amount that would have been recorded for the second quarter of 2017 was less than $0.1 million. Under ASU 2016-09, the threshold for awards to qualify for equity treatment permits withholding up to the maximum statutory tax rates in the applicable jurisdictions. Prior to the adoption of ASU 2016-09, the Company did not allow an award to be partially settled in cash in excess of the minimum statutory withholding requirements. Subsequent to the adoption of the standard, the Company will allow awards to be partially settled at the maximum applicable statutory rates. Finally, ASU 2016-09 requires excess tax benefits to be presented as a component of operating cash flows rather than financing cash flows. The Company elected to adopt this requirement prospectively and accordingly, prior periods have not been adjusted. Excess tax benefits were not material for all periods presented.</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March 2016, the FASB issued ASU No. 2016-06, </w:t>
      </w:r>
      <w:r>
        <w:rPr>
          <w:rFonts w:ascii="Arial" w:cs="Arial" w:eastAsia="Arial" w:hAnsi="Arial"/>
          <w:sz w:val="17"/>
          <w:szCs w:val="17"/>
          <w:i w:val="1"/>
          <w:iCs w:val="1"/>
          <w:color w:val="auto"/>
        </w:rPr>
        <w:t>Derivatives and Hedging (Topic 815): Contingent Put and Call Options in Debt Instruments</w:t>
      </w:r>
      <w:r>
        <w:rPr>
          <w:rFonts w:ascii="Arial" w:cs="Arial" w:eastAsia="Arial" w:hAnsi="Arial"/>
          <w:sz w:val="17"/>
          <w:szCs w:val="17"/>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The Company adopted this guidance in the first quarter of 2017. The adoption of this guidance had no impact on the Company's results of operations.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Resources Healthcare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December 1, 2016, the Company completed the acquisition of a recruitment process outsourcing business, US Resources Healthcare, LLC (USR). This acquisition expands the Company's workforce solutions offerings to deliver financial and operating efficiencies through labor optimization services while enhancing the quality of care.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acquisition was deemed immaterial and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w:t>
      </w:r>
      <w:r>
        <w:rPr>
          <w:rFonts w:ascii="Arial" w:cs="Arial" w:eastAsia="Arial" w:hAnsi="Arial"/>
          <w:sz w:val="18"/>
          <w:szCs w:val="18"/>
          <w:i w:val="1"/>
          <w:iCs w:val="1"/>
          <w:color w:val="auto"/>
        </w:rPr>
        <w:t>,</w:t>
      </w:r>
      <w:r>
        <w:rPr>
          <w:rFonts w:ascii="Arial" w:cs="Arial" w:eastAsia="Arial" w:hAnsi="Arial"/>
          <w:sz w:val="18"/>
          <w:szCs w:val="18"/>
          <w:color w:val="auto"/>
        </w:rPr>
        <w:t xml:space="preserve"> using the acquisition method of accounting. USR's results of operations are included in the consolidated statements of operations from December 1, 2016 and have been included in the Company's Nurse and Allied Staffing business segment. See Note 6 - Goodwill, Trade Names, and Other Intangible Assets and Note 9 -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subject to a net working capital adjustment. The shares of Common Stock issued in connection with the acquisition were subject to a lockup period, which ended April 30, 2016. In the first quarter of 2016, the net working capital adjustment was settled consistent with the receivable balance as of December 31, 2015. An amount of $5.0 million of the purchase price was held in escrow to cover any post-closing liabilities, which was released to the seller on May 3, 2017.</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agreement also specified that the sellers were eligible to receive additional purchase price consideration of $7.0 million, with $3.5 million per year based on attainment of specific performance criteria in 2016 and 2017. As of December 31, 2016, the Company determined that the first year earnout was not achieved for 2016 and as a result, only $3.5 million remains as a potential earnout for 2017. As of June 30, 2017, the fair value of the remaining obligation was estimated at $0.8 million.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Mediscan acquisition, the Company also assumed additional contingent purchase price liabilities for a previously acquired business that are payable annually based on specific performance criteria for the 2016 through 2019 years. Payments related to the 2016 through 2018 years are limited to $0.3 million per year and 2019 is uncapped. During the six months ended June 30, 2017, the Company paid $0.1 million. As of June 30, 2017, the fair value of the remaining obligations on an undiscounted basis was estimated at $3.8 million.</w:t>
      </w:r>
    </w:p>
    <w:p>
      <w:pPr>
        <w:spacing w:after="0" w:line="18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As of June 30, 2017, a total of $4.6 million was estimated as the fair value of these contingent consideration payments and is included in other current liabilities and contingent consideration on the condensed consolidated balance sheets. See Note 9 - Fair Value Measurements.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Medical Staffing Network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$1.2 million at both June 30, 2017 and December 31, 2016.</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income tax impact related to foreign currency translation adjustments for the three and six month periods ended June 30, 2017 and June 30, 2016.</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760" w:type="dxa"/>
            <w:vAlign w:val="bottom"/>
            <w:gridSpan w:val="6"/>
          </w:tcPr>
          <w:p>
            <w:pPr>
              <w:ind w:left="9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71"/>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4"/>
                <w:szCs w:val="14"/>
                <w:color w:val="auto"/>
              </w:rPr>
              <w:t>(amounts in thousands, except per share data)</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2"/>
              </w:rPr>
              <w:t>Net income (loss) attributable to common shareholders -</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Basic</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(17,237)</w:t>
            </w:r>
          </w:p>
        </w:tc>
        <w:tc>
          <w:tcPr>
            <w:tcW w:w="2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on Convertible Notes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Gain on derivative liability</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(12,865)</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Net income (loss) attributable to common shareholders -</w:t>
            </w: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2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Diluted</w:t>
            </w:r>
          </w:p>
        </w:tc>
        <w:tc>
          <w:tcPr>
            <w:tcW w:w="1080" w:type="dxa"/>
            <w:vAlign w:val="bottom"/>
            <w:tcBorders>
              <w:bottom w:val="single" w:sz="8" w:color="CCEEFF"/>
            </w:tcBorders>
            <w:vMerge w:val="continue"/>
            <w:shd w:val="clear" w:color="auto" w:fill="CCEEFF"/>
          </w:tcPr>
          <w:p>
            <w:pPr>
              <w:spacing w:after="0"/>
              <w:rPr>
                <w:sz w:val="21"/>
                <w:szCs w:val="21"/>
                <w:color w:val="auto"/>
              </w:rPr>
            </w:pPr>
          </w:p>
        </w:tc>
        <w:tc>
          <w:tcPr>
            <w:tcW w:w="6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vMerge w:val="continue"/>
            <w:shd w:val="clear" w:color="auto" w:fill="CCEEFF"/>
          </w:tcPr>
          <w:p>
            <w:pPr>
              <w:spacing w:after="0"/>
              <w:rPr>
                <w:sz w:val="21"/>
                <w:szCs w:val="21"/>
                <w:color w:val="auto"/>
              </w:rPr>
            </w:pPr>
          </w:p>
        </w:tc>
        <w:tc>
          <w:tcPr>
            <w:tcW w:w="138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vMerge w:val="continue"/>
            <w:shd w:val="clear" w:color="auto" w:fill="CCEEFF"/>
          </w:tcPr>
          <w:p>
            <w:pPr>
              <w:spacing w:after="0"/>
              <w:rPr>
                <w:sz w:val="21"/>
                <w:szCs w:val="21"/>
                <w:color w:val="auto"/>
              </w:rPr>
            </w:pPr>
          </w:p>
        </w:tc>
        <w:tc>
          <w:tcPr>
            <w:tcW w:w="11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Weighted average common shares - Basic</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35,651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32,085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32,021</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Effective of diluted shares: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180" w:type="dxa"/>
            <w:vAlign w:val="bottom"/>
          </w:tcPr>
          <w:p>
            <w:pPr>
              <w:ind w:left="500"/>
              <w:spacing w:after="0"/>
              <w:rPr>
                <w:sz w:val="20"/>
                <w:szCs w:val="20"/>
                <w:color w:val="auto"/>
              </w:rPr>
            </w:pPr>
            <w:r>
              <w:rPr>
                <w:rFonts w:ascii="Arial" w:cs="Arial" w:eastAsia="Arial" w:hAnsi="Arial"/>
                <w:sz w:val="18"/>
                <w:szCs w:val="18"/>
                <w:color w:val="auto"/>
              </w:rPr>
              <w:t>Share-based awards</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Convertible Notes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97"/>
        </w:trPr>
        <w:tc>
          <w:tcPr>
            <w:tcW w:w="180" w:type="dxa"/>
            <w:vAlign w:val="bottom"/>
            <w:tcBorders>
              <w:bottom w:val="single" w:sz="8" w:color="CCEEFF"/>
            </w:tcBorders>
          </w:tcPr>
          <w:p>
            <w:pPr>
              <w:spacing w:after="0"/>
              <w:rPr>
                <w:sz w:val="24"/>
                <w:szCs w:val="24"/>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 Diluted</w:t>
            </w:r>
          </w:p>
        </w:tc>
        <w:tc>
          <w:tcPr>
            <w:tcW w:w="10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36,021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32,085</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36,250</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36,194</w:t>
            </w:r>
          </w:p>
        </w:tc>
        <w:tc>
          <w:tcPr>
            <w:tcW w:w="0" w:type="dxa"/>
            <w:vAlign w:val="bottom"/>
          </w:tcPr>
          <w:p>
            <w:pPr>
              <w:spacing w:after="0"/>
              <w:rPr>
                <w:sz w:val="1"/>
                <w:szCs w:val="1"/>
                <w:color w:val="auto"/>
              </w:rPr>
            </w:pPr>
          </w:p>
        </w:tc>
      </w:tr>
      <w:tr>
        <w:trPr>
          <w:trHeight w:val="311"/>
        </w:trPr>
        <w:tc>
          <w:tcPr>
            <w:tcW w:w="18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7"/>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shareholders - Basic</w:t>
            </w:r>
          </w:p>
        </w:tc>
        <w:tc>
          <w:tcPr>
            <w:tcW w:w="108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42"/>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shareholders - Diluted</w:t>
            </w:r>
          </w:p>
        </w:tc>
        <w:tc>
          <w:tcPr>
            <w:tcW w:w="108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40" w:firstLine="8"/>
        <w:spacing w:after="0" w:line="277" w:lineRule="auto"/>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June 30, 2016, the Convertible Notes would have been anti-dilutive if converted at the beginning of the period and therefore, amounts are 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For the periods presented, no tax benefits have been assumed in the weighted average share calculation due to a full valuation allowance on the Company's deferred tax assets.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Convertible Notes were paid in full on March 17, 2017. Applying the if-converted method, 1,459,030 shares and 3,521,126 shares were included in diluted weighted average shares for the six months ended June 30, 2017 and 2016 because their effect was dilutive.</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368" w:right="47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6.</w:t>
        <w:tab/>
        <w:t>GOODWILL, TRADE NAMES,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and December 31, 2016, 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June 30, 2017</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2016</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31,609</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17,162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31,609</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16,147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24,270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23,316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3,527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Trade names, definite-lived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80,168</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45,478</w:t>
            </w:r>
          </w:p>
        </w:tc>
        <w:tc>
          <w:tcPr>
            <w:tcW w:w="2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34,690</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80,168</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43,333</w:t>
            </w:r>
          </w:p>
        </w:tc>
        <w:tc>
          <w:tcPr>
            <w:tcW w:w="2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36,835</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Intangible assets not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70,092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3"/>
              </w:rPr>
              <w:t>As of June 30, 2017, estimated annual amortization expense is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3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Years Ending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6"/>
                <w:szCs w:val="16"/>
                <w:color w:val="auto"/>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June 30, 2017 and December 31, 2016 carrying amount of goodwill by segment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 2017</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6640" w:type="dxa"/>
            <w:vAlign w:val="bottom"/>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640" w:type="dxa"/>
            <w:vAlign w:val="bottom"/>
          </w:tcPr>
          <w:p>
            <w:pPr>
              <w:spacing w:after="0"/>
              <w:rPr>
                <w:sz w:val="18"/>
                <w:szCs w:val="18"/>
                <w:color w:val="auto"/>
              </w:rPr>
            </w:pPr>
          </w:p>
        </w:tc>
        <w:tc>
          <w:tcPr>
            <w:tcW w:w="3660" w:type="dxa"/>
            <w:vAlign w:val="bottom"/>
            <w:gridSpan w:val="4"/>
          </w:tcPr>
          <w:p>
            <w:pPr>
              <w:jc w:val="right"/>
              <w:ind w:right="410"/>
              <w:spacing w:after="0"/>
              <w:rPr>
                <w:sz w:val="20"/>
                <w:szCs w:val="20"/>
                <w:color w:val="auto"/>
              </w:rPr>
            </w:pPr>
            <w:r>
              <w:rPr>
                <w:rFonts w:ascii="Arial" w:cs="Arial" w:eastAsia="Arial" w:hAnsi="Arial"/>
                <w:sz w:val="16"/>
                <w:szCs w:val="16"/>
                <w:color w:val="auto"/>
              </w:rPr>
              <w:t>(amounts in thousands)</w:t>
            </w:r>
          </w:p>
        </w:tc>
        <w:tc>
          <w:tcPr>
            <w:tcW w:w="11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Nurse and Allied Staffing</w:t>
            </w:r>
          </w:p>
        </w:tc>
        <w:tc>
          <w:tcPr>
            <w:tcW w:w="1680" w:type="dxa"/>
            <w:vAlign w:val="bottom"/>
            <w:tcBorders>
              <w:bottom w:val="single" w:sz="8" w:color="CCEEFF"/>
            </w:tcBorders>
            <w:shd w:val="clear" w:color="auto" w:fill="CCEEFF"/>
          </w:tcPr>
          <w:p>
            <w:pPr>
              <w:jc w:val="right"/>
              <w:ind w:right="14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44,545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Physician Staffing</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25,685</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25,685</w:t>
            </w:r>
          </w:p>
        </w:tc>
      </w:tr>
      <w:tr>
        <w:trPr>
          <w:trHeight w:val="27"/>
        </w:trPr>
        <w:tc>
          <w:tcPr>
            <w:tcW w:w="6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Human Capital Management Services</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w:t>
            </w: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80" w:type="dxa"/>
            <w:vAlign w:val="bottom"/>
            <w:tcBorders>
              <w:top w:val="single" w:sz="8" w:color="auto"/>
              <w:bottom w:val="single" w:sz="8" w:color="auto"/>
            </w:tcBorders>
          </w:tcPr>
          <w:p>
            <w:pPr>
              <w:jc w:val="right"/>
              <w:ind w:right="147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79,648</w:t>
            </w:r>
          </w:p>
        </w:tc>
        <w:tc>
          <w:tcPr>
            <w:tcW w:w="2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79,648</w:t>
            </w:r>
          </w:p>
        </w:tc>
      </w:tr>
      <w:tr>
        <w:trPr>
          <w:trHeight w:val="20"/>
        </w:trPr>
        <w:tc>
          <w:tcPr>
            <w:tcW w:w="66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2017, the Company noted no indicators at any of its reporting units that warranted impairment testing.</w:t>
      </w:r>
    </w:p>
    <w:p>
      <w:pPr>
        <w:spacing w:after="0" w:line="156" w:lineRule="exact"/>
        <w:rPr>
          <w:sz w:val="20"/>
          <w:szCs w:val="20"/>
          <w:color w:val="auto"/>
        </w:rPr>
      </w:pPr>
    </w:p>
    <w:p>
      <w:pPr>
        <w:ind w:right="2500"/>
        <w:spacing w:after="0" w:line="291" w:lineRule="auto"/>
        <w:rPr>
          <w:sz w:val="20"/>
          <w:szCs w:val="20"/>
          <w:color w:val="auto"/>
        </w:rPr>
      </w:pPr>
      <w:r>
        <w:rPr>
          <w:rFonts w:ascii="Arial" w:cs="Arial" w:eastAsia="Arial" w:hAnsi="Arial"/>
          <w:sz w:val="16"/>
          <w:szCs w:val="16"/>
          <w:color w:val="auto"/>
        </w:rPr>
        <w:t>During an evaluation of goodwill and other identified intangible assets at June 30, 2016, the Company determined that indicators were present in the Physician Staffing reporting unit which would suggest the fair value of the reporting unit may</w:t>
      </w:r>
    </w:p>
    <w:p>
      <w:pPr>
        <w:ind w:right="300"/>
        <w:spacing w:after="0" w:line="261" w:lineRule="auto"/>
        <w:rPr>
          <w:sz w:val="20"/>
          <w:szCs w:val="20"/>
          <w:color w:val="auto"/>
        </w:rPr>
      </w:pPr>
      <w:r>
        <w:rPr>
          <w:rFonts w:ascii="Arial" w:cs="Arial" w:eastAsia="Arial" w:hAnsi="Arial"/>
          <w:sz w:val="18"/>
          <w:szCs w:val="18"/>
          <w:color w:val="auto"/>
        </w:rPr>
        <w:t>have declined below the carrying value. The Physician Staffing reporting unit continued to underperform relative to management's expectations, driven by lower booking volumes partly due to the loss of customers, and margins being impacted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jc w:val="both"/>
        <w:ind w:right="260"/>
        <w:spacing w:after="0" w:line="286" w:lineRule="auto"/>
        <w:rPr>
          <w:sz w:val="20"/>
          <w:szCs w:val="20"/>
          <w:color w:val="auto"/>
        </w:rPr>
      </w:pPr>
      <w:r>
        <w:rPr>
          <w:rFonts w:ascii="Arial" w:cs="Arial" w:eastAsia="Arial" w:hAnsi="Arial"/>
          <w:sz w:val="17"/>
          <w:szCs w:val="17"/>
          <w:color w:val="auto"/>
        </w:rPr>
        <w:t>from continued investments in the business all through the first half of 2016. The evaluation resulted in the carrying value of goodwill and other intangible assets for Physician Staffing to exceed the estimated fair value. As a result, the Company recorded pre-tax impairment charges totaling $24.3 million with $17.7 million related to goodwill, $0.6 million related to trade names, and $6.0 million related to customer relationships.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000" w:type="dxa"/>
            <w:vAlign w:val="bottom"/>
            <w:gridSpan w:val="4"/>
          </w:tcPr>
          <w:p>
            <w:pPr>
              <w:spacing w:after="0"/>
              <w:rPr>
                <w:sz w:val="20"/>
                <w:szCs w:val="20"/>
                <w:color w:val="auto"/>
              </w:rPr>
            </w:pPr>
            <w:r>
              <w:rPr>
                <w:rFonts w:ascii="Arial" w:cs="Arial" w:eastAsia="Arial" w:hAnsi="Arial"/>
                <w:sz w:val="18"/>
                <w:szCs w:val="18"/>
                <w:color w:val="auto"/>
              </w:rPr>
              <w:t>At June 30, 2017 and December 31, 2016, long-term debt consists of the following: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2017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right"/>
              <w:ind w:right="591"/>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Unamortized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rPr>
              <w:t>Unamortized</w:t>
            </w:r>
          </w:p>
        </w:tc>
      </w:tr>
      <w:tr>
        <w:trPr>
          <w:trHeight w:val="203"/>
        </w:trPr>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Discount and Debt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Discount and Debt</w:t>
            </w:r>
          </w:p>
        </w:tc>
      </w:tr>
      <w:tr>
        <w:trPr>
          <w:trHeight w:val="210"/>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6"/>
              </w:rPr>
              <w:t>Issuance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Arial" w:cs="Arial" w:eastAsia="Arial" w:hAnsi="Arial"/>
                <w:sz w:val="16"/>
                <w:szCs w:val="16"/>
                <w:b w:val="1"/>
                <w:bCs w:val="1"/>
                <w:color w:val="auto"/>
                <w:w w:val="86"/>
              </w:rPr>
              <w:t>Issuance Costs</w:t>
            </w:r>
          </w:p>
        </w:tc>
      </w:tr>
      <w:tr>
        <w:trPr>
          <w:trHeight w:val="33"/>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Arial" w:cs="Arial" w:eastAsia="Arial" w:hAnsi="Arial"/>
                <w:sz w:val="18"/>
                <w:szCs w:val="18"/>
                <w:color w:val="auto"/>
              </w:rPr>
              <w:t>(amounts 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Term Loan, interest 2.80% and 2.62% at June 30, 2017 and December 31,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respectively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Convertible Notes, fixed rate interest of 8.00%</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Convertible Notes derivative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35,756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89,792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5780" w:type="dxa"/>
            <w:vAlign w:val="bottom"/>
            <w:gridSpan w:val="2"/>
          </w:tcPr>
          <w:p>
            <w:pPr>
              <w:spacing w:after="0"/>
              <w:rPr>
                <w:sz w:val="20"/>
                <w:szCs w:val="20"/>
                <w:color w:val="auto"/>
              </w:rPr>
            </w:pPr>
            <w:r>
              <w:rPr>
                <w:rFonts w:ascii="Arial" w:cs="Arial" w:eastAsia="Arial" w:hAnsi="Arial"/>
                <w:sz w:val="18"/>
                <w:szCs w:val="18"/>
                <w:color w:val="auto"/>
                <w:w w:val="91"/>
              </w:rPr>
              <w:t>As of June 30, 2017, the aggregate scheduled maturities of debt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Term Loan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51"/>
              <w:spacing w:after="0"/>
              <w:rPr>
                <w:sz w:val="20"/>
                <w:szCs w:val="20"/>
                <w:color w:val="auto"/>
              </w:rPr>
            </w:pPr>
            <w:r>
              <w:rPr>
                <w:rFonts w:ascii="Arial" w:cs="Arial" w:eastAsia="Arial" w:hAnsi="Arial"/>
                <w:sz w:val="18"/>
                <w:szCs w:val="18"/>
                <w:b w:val="1"/>
                <w:bCs w:val="1"/>
                <w:color w:val="auto"/>
                <w:w w:val="87"/>
              </w:rPr>
              <w:t>Capital Leases</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7"/>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7"/>
          </w:tcPr>
          <w:p>
            <w:pPr>
              <w:jc w:val="right"/>
              <w:ind w:right="731"/>
              <w:spacing w:after="0"/>
              <w:rPr>
                <w:sz w:val="20"/>
                <w:szCs w:val="20"/>
                <w:color w:val="auto"/>
              </w:rPr>
            </w:pPr>
            <w:r>
              <w:rPr>
                <w:rFonts w:ascii="Arial" w:cs="Arial" w:eastAsia="Arial" w:hAnsi="Arial"/>
                <w:sz w:val="16"/>
                <w:szCs w:val="16"/>
                <w:color w:val="auto"/>
              </w:rPr>
              <w:t>(amounts in thousands)</w:t>
            </w:r>
          </w:p>
        </w:tc>
      </w:tr>
      <w:tr>
        <w:trPr>
          <w:trHeight w:val="33"/>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certain of its domestic subsidiaries entered into a Convertible Note Purchase Agreement (the Note Purchase Agreement), with certain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(collectively, the Noteholders) on June 30, 2014. Pursuant to the Note Purchase Agreement, the Company sold to the Noteholders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of convertible senior notes (the Convertible Notes). On March 17, 2017, the Company paid in full the Convertible Notes.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repayment, the Company issued to the Noteholders an aggregate of 3,175,584 shares of Common Stock, par value $0.0001, and cash in the aggregate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$5.6 million (of which $5.0 million is included in repayment of debt and $0.6 million is presented as extinguishment fees, both within financing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condensed consolidated statements of cash flows). Upon derecognition of the net carrying amounts of the Convertible Notes (the remaining $20.0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after the $5.0 million cash payment) and derivative liability ($26.0 million), the Company recognized a non-cash charge of $5.0 million as loss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early extinguishment and a non-cash addition to additional paid-in capital of $46.0 million for the fair value of the shares, which is not presented 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cash flows. The loss on early extinguishment of debt includes the write-off of unamortized loan fees and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due through the Forced Conversion date (defined below) of June 30, 2017.</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of its Common Stock exceeded 125% of the then conversion price for 20 days of a 30 day trading period (Forced Conversion date).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 Subject to certain exceptions, the Company was not permitted to redeem the Convertible Notes until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Facilities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December 31, 2015, the Company had a senior secured asset-based revolving credit facility (First Lien Loan), with a termination date of June 30, 2017, in the aggregate principal amount of up to $85.0 million, which included a subfacility for swingline loans up to an amount equal to 10% of the aggregate Revolver Commitments, as defined in the agreement, and a $35.0 million subfacility for standby letters of credit. The Company also had a five-year second lien term loan facility (Second Lien Term Loan) in an aggregate principal amount of $30.0 million. The Company had the ability, at its option at any time, to prepay the Second Lien Term Loan in whole or in part at the redemption prices set forth therein, which ranged from 103% of the principal amount thereof for prepayments during the period July 1, 2015 through June 30, 2016, 102% of the principal amount thereof for prepayments during the period July 1, 2016 through June 30, 2017, and 100% of the principal amount thereof for prepayments after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Senior Credit Facilities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22, 2016, the Company entered into a senior credit agreement (Credit Agreement), which provided for an initial term loan of $40.0 million (Term Loan) and a revolving credit facility of up to $100.0 million (Revolving Credit Facility) (together with the Term Loan, the Senior Credit Facilities) both of which would have matured on June 22, 2021. Subsequent to June 30, 2017, this Credit Agreement has been amended and restated. See Note 16 - Subsequent Events.</w:t>
      </w:r>
    </w:p>
    <w:p>
      <w:pPr>
        <w:spacing w:after="0" w:line="10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Revolving Credit Facility included a subfacility for swingline loans up to an amount not to exceed $15.0 million, and a $35.0 million sublimit for the issuance of standby letters of credit. The Credit Agreement also included a provision permitting the Company, subject to certain conditions, to increase the aggregate amount of the commitments under the Revolving Credit Facility or establish one or more additional term loans in an aggregate amount of up to $50.0 million with optional additional commitments from existing lenders or new commitments from additional lenders. The Term Loan was payable in quarterly installments, with the first payment made September 30, 2016, and each such installment being in the aggregate annual principal amount (subject to adjustment as a result of prepayments) equal to 1.25% of the principal amount for the first four installments, 1.875% for the next eight installments, and 2.50% of the principal amount for the remaining installments. The Revolving Credit Facility could be used to provide ongoing working capital, fund permitted acquisitions and for other general corporate purposes of the Company and its subsidiaries.</w:t>
      </w:r>
    </w:p>
    <w:p>
      <w:pPr>
        <w:spacing w:after="0" w:line="9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Proceeds of the Senior Credit Facilities were used primarily to refinance the Company’s First Lien Loan and Second Lien Term Loan and to pay related transaction fees and expenses, including a prepayment penalty of $0.6 million. In addition, $23.1 million of standby letters of credit issued under the First Lien Loan were rolled into and deemed issued under the Revolving Credit Facility. The Revolving Credit Facility could be used to provide ongoing working capital, fund permitted acquisitions, and for other general corporate purposes of the Company and its subsidiaries.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repayment of the Second Lien Term Loan was treated as extinguishment of debt and, as a result, the Company recognized a loss on extinguishment of debt of approximately $1.6 million in the second quarter of 2016, related to the write-off of unamortized net debt discount and issuance costs as well as transaction fees and expenses.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Subject to the Credit Agreement, the Company paid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was a percentage per annum determined by reference to the applicable Consolidated Net Leverage Ratio (as defined by the agreement) in effect on such date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368" w:right="29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5"/>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Level</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2"/>
              </w:rPr>
              <w:t>Letter of Credit Fee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88"/>
              </w:rPr>
              <w:t>Base Rate Loans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Less than 1.50:1.00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0.25%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1.50:1.00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2.00:1.00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0.40%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June 30, 2017, the Term Loan and Revolving Credit Facility bore interest at a rate equal to One Month LIBOR plus 175 basis points. The interest rate was subject to an increase of 200 basis points if an event of default existed under the Credit Agreement. The Company was required to pay a commitment fee on the average daily unused portion of the Revolving Credit Facility, based on the Applicable Margin which was 0.25% as of June 30, 2017.</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had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was ultimately unable to secure such financing arrangement. The Company was required to prepay the Senior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Credit Agreement contained customary representations, warranties, and affirmative covenants. The Credit Agreement also contained customary negative covenants, subject to some exceptions, on (i) indebtedness and preferred equity, (ii) liens, (iii) fundamental changes, (iv) investments, (v) restricted payments, and (vi) sale of assets and certain other restrictive agreements. The Credit Agreement also contained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73"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The Credit Agreement also included two financial covenants: (i) limiting a maximum Consolidated Total Leverage ratio (as defined therein) to be no greater than 3.50:1.00 for the fiscal quarters ending September 30, 2016 through June 30, 2017, 3.25:1.00 for the fiscal quarters ending September 30, 2017 through June 30, 2018, and 3.00:1.00 for each fiscal quarter ending thereafter and as adjusted pursuant to a Qualified Permitted Acquisition (as defined therein); and</w:t>
      </w:r>
    </w:p>
    <w:p>
      <w:pPr>
        <w:ind w:right="60" w:firstLine="8"/>
        <w:spacing w:after="0" w:line="261"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a minimum Consolidated Fixed Charge Coverage ratio (as defined therein) as of the end of each fiscal quarter of 1.50:1.00. As of June 30, 2017, the Company was in compliance with the financial covenants and other covenants contained in the Credit Agreement.</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obligations under the Credit Agreement were guaranteed by all of the Company’s domestic wholly-owned subsidiaries and were secured by a first-priority security interest in the Collateral (as defined therein).</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2017, the Company had $21.6 million letters of credit outstanding and $78.4 million available under the Revolving Credit Facility. The letters of credit related to the Company’s workers’ compensation and professional liability insurance policies.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CONVERTIBLE NOTES DERIVATIVE LIABILITY</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On March 17, 2017, the Company paid in full its Convertible Notes and, as a result, derecognized the derivative liability. See Note 7 - Debt. The Company does not use derivative financial instruments to hedge exposures to cash-flow, market or foreign-currency risks. However, the Company issued Convertible Notes with features that were either (i) not afforded equity classification, (ii) embody risks not clearly and closely related to host contracts, or (iii) may be net-cash settled by the counterparty. As required by the </w:t>
      </w:r>
      <w:r>
        <w:rPr>
          <w:rFonts w:ascii="Arial" w:cs="Arial" w:eastAsia="Arial" w:hAnsi="Arial"/>
          <w:sz w:val="16"/>
          <w:szCs w:val="16"/>
          <w:i w:val="1"/>
          <w:iCs w:val="1"/>
          <w:color w:val="auto"/>
        </w:rPr>
        <w:t>Accounting for Derivative Financial Instruments and Hedging Activities</w:t>
      </w:r>
      <w:r>
        <w:rPr>
          <w:rFonts w:ascii="Arial" w:cs="Arial" w:eastAsia="Arial" w:hAnsi="Arial"/>
          <w:sz w:val="16"/>
          <w:szCs w:val="16"/>
          <w:color w:val="auto"/>
        </w:rPr>
        <w:t xml:space="preserve"> Topic of the FASB ASC, in certain instances, these instruments were required to be carried as derivative liabilities, at fair value, in the financial statements.</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Convertible Notes were subject to anti-dilution adjustments that allowed for the reduction in the Conversion Price, as defined in the agreement, in the event the Company subsequently issued equity securities including Common Stock or any</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498" w:right="219" w:bottom="1440" w:gutter="0" w:footer="0" w:header="0"/>
        </w:sectPr>
      </w:pPr>
    </w:p>
    <w:bookmarkStart w:id="15" w:name="page16"/>
    <w:bookmarkEnd w:id="15"/>
    <w:p>
      <w:pPr>
        <w:ind w:right="40"/>
        <w:spacing w:after="0" w:line="257" w:lineRule="auto"/>
        <w:rPr>
          <w:sz w:val="20"/>
          <w:szCs w:val="20"/>
          <w:color w:val="auto"/>
        </w:rPr>
      </w:pPr>
      <w:r>
        <w:rPr>
          <w:rFonts w:ascii="Arial" w:cs="Arial" w:eastAsia="Arial" w:hAnsi="Arial"/>
          <w:sz w:val="18"/>
          <w:szCs w:val="18"/>
          <w:color w:val="auto"/>
        </w:rPr>
        <w:t xml:space="preserve">security convertible or exchangeable for shares of Common Stock for a price less than the then current conversion price. In addition, the Convertible Notes allowed the issuer to exercise optional redemption features and the holder to exercise an offer to purchase feature, under certain conditions. The Company accounted for the conversion option in accordance with the </w:t>
      </w:r>
      <w:r>
        <w:rPr>
          <w:rFonts w:ascii="Arial" w:cs="Arial" w:eastAsia="Arial" w:hAnsi="Arial"/>
          <w:sz w:val="18"/>
          <w:szCs w:val="18"/>
          <w:i w:val="1"/>
          <w:iCs w:val="1"/>
          <w:color w:val="auto"/>
        </w:rPr>
        <w:t>Accounting for Derivative Financial Instruments and Hedging Activities</w:t>
      </w:r>
      <w:r>
        <w:rPr>
          <w:rFonts w:ascii="Arial" w:cs="Arial" w:eastAsia="Arial" w:hAnsi="Arial"/>
          <w:sz w:val="18"/>
          <w:szCs w:val="18"/>
          <w:color w:val="auto"/>
        </w:rPr>
        <w:t xml:space="preserve"> Topic. Since this conversion feature is not considered to be solely indexed to the Company’s own stock the derivative was recorded as a liability in the line item long-term debt on the Company's condensed consolidated balance sheets.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Convertible Notes derivative liability was measured at fair value using a trinomial lattice model. The optional redemption features, along with the offer to purchase features were incorporated into the valuation model. Inputs into the model required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contained an anti-dilution adjustment, the probability that the Conversion Price of the Notes would decrease as the share price decreased was incorporated into the valuation calculation.</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fair value of the derivative liability was primarily determined by fluctuations in our stock price. In addition, changes in our credit risk profile impacted the fair value determination. These fluctuations resulted in a current period gain or loss that was presented on the condensed consolidated statements of operations as loss (gain) on derivative liability.</w:t>
      </w:r>
    </w:p>
    <w:p>
      <w:pPr>
        <w:spacing w:after="0" w:line="17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its: deferred compensation liability included in other long-term liabilities, Convertible Notes derivative liability included in long-term debt and capital lease obligations, and contingent consideration liabilities.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utilized Level 3 inputs to value its Convertible Notes derivative liability. See Note 7 - Debt and Note 8 -</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derivative liability.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Contingent consideration liabilities</w:t>
      </w:r>
      <w:r>
        <w:rPr>
          <w:rFonts w:ascii="Arial" w:cs="Arial" w:eastAsia="Arial" w:hAnsi="Arial"/>
          <w:sz w:val="18"/>
          <w:szCs w:val="18"/>
          <w:color w:val="auto"/>
        </w:rPr>
        <w:t>—Potential earnout payments related to the acquisition of Mediscan and USR are contingent upon meeting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requirements through 2019. See Note 3 - Acquisitions. The long-term portion of these liabilities is included 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The Mediscan contingent consideration is recorded as a liability and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The USR contingent consideration is recorded as a liability and measured at fair value using a discounted cash flow model utilizing significant unobservable inputs, including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ind w:right="800"/>
        <w:spacing w:after="0" w:line="277" w:lineRule="auto"/>
        <w:rPr>
          <w:sz w:val="20"/>
          <w:szCs w:val="20"/>
          <w:color w:val="auto"/>
        </w:rPr>
      </w:pPr>
      <w:r>
        <w:rPr>
          <w:rFonts w:ascii="Arial" w:cs="Arial" w:eastAsia="Arial" w:hAnsi="Arial"/>
          <w:sz w:val="18"/>
          <w:szCs w:val="18"/>
          <w:color w:val="auto"/>
        </w:rPr>
        <w:t>the probability of achieving each of the potential milestones and an estimated discount rate commensurate with the risks of the expected cash flows attributable to the milestones.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 as of June 30, 2017 and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0" w:type="dxa"/>
            <w:vAlign w:val="bottom"/>
            <w:gridSpan w:val="3"/>
          </w:tcPr>
          <w:p>
            <w:pPr>
              <w:ind w:left="1760"/>
              <w:spacing w:after="0"/>
              <w:rPr>
                <w:sz w:val="20"/>
                <w:szCs w:val="20"/>
                <w:color w:val="auto"/>
              </w:rPr>
            </w:pPr>
            <w:r>
              <w:rPr>
                <w:rFonts w:ascii="Arial" w:cs="Arial" w:eastAsia="Arial" w:hAnsi="Arial"/>
                <w:sz w:val="18"/>
                <w:szCs w:val="18"/>
                <w:b w:val="1"/>
                <w:bCs w:val="1"/>
                <w:color w:val="auto"/>
              </w:rPr>
              <w:t>Fair Value Measurements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20" w:type="dxa"/>
            <w:vAlign w:val="bottom"/>
            <w:gridSpan w:val="2"/>
          </w:tcPr>
          <w:p>
            <w:pPr>
              <w:ind w:left="620"/>
              <w:spacing w:after="0"/>
              <w:rPr>
                <w:sz w:val="20"/>
                <w:szCs w:val="20"/>
                <w:color w:val="auto"/>
              </w:rPr>
            </w:pPr>
            <w:r>
              <w:rPr>
                <w:rFonts w:ascii="Arial" w:cs="Arial" w:eastAsia="Arial" w:hAnsi="Arial"/>
                <w:sz w:val="18"/>
                <w:szCs w:val="18"/>
                <w:b w:val="1"/>
                <w:bCs w:val="1"/>
                <w:color w:val="auto"/>
                <w:w w:val="92"/>
              </w:rPr>
              <w:t>June 30, 2017</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Financial 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gridSpan w:val="5"/>
            <w:shd w:val="clear" w:color="auto" w:fill="CCEEFF"/>
          </w:tcPr>
          <w:p>
            <w:pPr>
              <w:jc w:val="right"/>
              <w:ind w:right="1530"/>
              <w:spacing w:after="0"/>
              <w:rPr>
                <w:sz w:val="20"/>
                <w:szCs w:val="20"/>
                <w:color w:val="auto"/>
              </w:rPr>
            </w:pPr>
            <w:r>
              <w:rPr>
                <w:rFonts w:ascii="Arial" w:cs="Arial" w:eastAsia="Arial" w:hAnsi="Arial"/>
                <w:sz w:val="16"/>
                <w:szCs w:val="16"/>
                <w:color w:val="auto"/>
                <w:w w:val="89"/>
                <w:shd w:val="clear" w:color="auto" w:fill="CCEEFF"/>
              </w:rPr>
              <w:t>(amounts in thousands)</w:t>
            </w: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1)</w:t>
            </w:r>
          </w:p>
        </w:tc>
        <w:tc>
          <w:tcPr>
            <w:tcW w:w="3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Deferred compensation</w:t>
            </w:r>
          </w:p>
        </w:tc>
        <w:tc>
          <w:tcPr>
            <w:tcW w:w="5320" w:type="dxa"/>
            <w:vAlign w:val="bottom"/>
            <w:tcBorders>
              <w:bottom w:val="single" w:sz="8" w:color="CCEEFF"/>
            </w:tcBorders>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1,303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(Level 3)</w:t>
            </w:r>
          </w:p>
        </w:tc>
        <w:tc>
          <w:tcPr>
            <w:tcW w:w="3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gridSpan w:val="3"/>
            <w:vMerge w:val="continue"/>
          </w:tcPr>
          <w:p>
            <w:pPr>
              <w:spacing w:after="0"/>
              <w:rPr>
                <w:sz w:val="18"/>
                <w:szCs w:val="18"/>
                <w:color w:val="auto"/>
              </w:rPr>
            </w:pPr>
          </w:p>
        </w:tc>
        <w:tc>
          <w:tcPr>
            <w:tcW w:w="3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3"/>
                <w:shd w:val="clear" w:color="auto" w:fill="CCEEFF"/>
              </w:rPr>
              <w:t>Convertible Notes derivative liability</w:t>
            </w:r>
          </w:p>
        </w:tc>
        <w:tc>
          <w:tcPr>
            <w:tcW w:w="36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2920" w:type="dxa"/>
            <w:vAlign w:val="bottom"/>
            <w:gridSpan w:val="2"/>
          </w:tcPr>
          <w:p>
            <w:pPr>
              <w:ind w:left="240"/>
              <w:spacing w:after="0"/>
              <w:rPr>
                <w:sz w:val="20"/>
                <w:szCs w:val="20"/>
                <w:color w:val="auto"/>
              </w:rPr>
            </w:pPr>
            <w:r>
              <w:rPr>
                <w:rFonts w:ascii="Arial" w:cs="Arial" w:eastAsia="Arial" w:hAnsi="Arial"/>
                <w:sz w:val="18"/>
                <w:szCs w:val="18"/>
                <w:color w:val="auto"/>
                <w:w w:val="97"/>
              </w:rPr>
              <w:t>Contingent consideration liabilities</w:t>
            </w:r>
          </w:p>
        </w:tc>
        <w:tc>
          <w:tcPr>
            <w:tcW w:w="5320" w:type="dxa"/>
            <w:vAlign w:val="bottom"/>
            <w:gridSpan w:val="2"/>
          </w:tcPr>
          <w:p>
            <w:pPr>
              <w:jc w:val="right"/>
              <w:ind w:right="1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6,054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which follows reconciles the opening balances to the closing balances for fair value measurements categorized within Level 3 of the fair value hierarchy:</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Contingent Consideration</w:t>
            </w:r>
          </w:p>
        </w:tc>
        <w:tc>
          <w:tcPr>
            <w:tcW w:w="340" w:type="dxa"/>
            <w:vAlign w:val="bottom"/>
          </w:tcPr>
          <w:p>
            <w:pPr>
              <w:spacing w:after="0"/>
              <w:rPr>
                <w:sz w:val="20"/>
                <w:szCs w:val="20"/>
                <w:color w:val="auto"/>
              </w:rPr>
            </w:pPr>
          </w:p>
        </w:tc>
        <w:tc>
          <w:tcPr>
            <w:tcW w:w="2260" w:type="dxa"/>
            <w:vAlign w:val="bottom"/>
          </w:tcPr>
          <w:p>
            <w:pPr>
              <w:jc w:val="right"/>
              <w:ind w:right="530"/>
              <w:spacing w:after="0"/>
              <w:rPr>
                <w:sz w:val="20"/>
                <w:szCs w:val="20"/>
                <w:color w:val="auto"/>
              </w:rPr>
            </w:pPr>
            <w:r>
              <w:rPr>
                <w:rFonts w:ascii="Arial" w:cs="Arial" w:eastAsia="Arial" w:hAnsi="Arial"/>
                <w:sz w:val="18"/>
                <w:szCs w:val="18"/>
                <w:b w:val="1"/>
                <w:bCs w:val="1"/>
                <w:color w:val="auto"/>
              </w:rPr>
              <w:t>Convertible Notes</w:t>
            </w:r>
          </w:p>
        </w:tc>
      </w:tr>
      <w:tr>
        <w:trPr>
          <w:trHeight w:val="270"/>
        </w:trPr>
        <w:tc>
          <w:tcPr>
            <w:tcW w:w="5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Liabilities (a)</w:t>
            </w:r>
          </w:p>
        </w:tc>
        <w:tc>
          <w:tcPr>
            <w:tcW w:w="340" w:type="dxa"/>
            <w:vAlign w:val="bottom"/>
          </w:tcPr>
          <w:p>
            <w:pPr>
              <w:spacing w:after="0"/>
              <w:rPr>
                <w:sz w:val="23"/>
                <w:szCs w:val="23"/>
                <w:color w:val="auto"/>
              </w:rPr>
            </w:pPr>
          </w:p>
        </w:tc>
        <w:tc>
          <w:tcPr>
            <w:tcW w:w="2260" w:type="dxa"/>
            <w:vAlign w:val="bottom"/>
          </w:tcPr>
          <w:p>
            <w:pPr>
              <w:jc w:val="right"/>
              <w:ind w:right="470"/>
              <w:spacing w:after="0"/>
              <w:rPr>
                <w:sz w:val="20"/>
                <w:szCs w:val="20"/>
                <w:color w:val="auto"/>
              </w:rPr>
            </w:pPr>
            <w:r>
              <w:rPr>
                <w:rFonts w:ascii="Arial" w:cs="Arial" w:eastAsia="Arial" w:hAnsi="Arial"/>
                <w:sz w:val="18"/>
                <w:szCs w:val="18"/>
                <w:b w:val="1"/>
                <w:bCs w:val="1"/>
                <w:color w:val="auto"/>
              </w:rPr>
              <w:t>Derivative Liability</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gridSpan w:val="4"/>
          </w:tcPr>
          <w:p>
            <w:pPr>
              <w:spacing w:after="0"/>
              <w:rPr>
                <w:sz w:val="2"/>
                <w:szCs w:val="2"/>
                <w:color w:val="auto"/>
              </w:rPr>
            </w:pPr>
          </w:p>
        </w:tc>
      </w:tr>
      <w:tr>
        <w:trPr>
          <w:trHeight w:val="217"/>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gridSpan w:val="4"/>
          </w:tcPr>
          <w:p>
            <w:pPr>
              <w:jc w:val="right"/>
              <w:ind w:right="1850"/>
              <w:spacing w:after="0"/>
              <w:rPr>
                <w:sz w:val="20"/>
                <w:szCs w:val="20"/>
                <w:color w:val="auto"/>
              </w:rPr>
            </w:pPr>
            <w:r>
              <w:rPr>
                <w:rFonts w:ascii="Arial" w:cs="Arial" w:eastAsia="Arial" w:hAnsi="Arial"/>
                <w:sz w:val="16"/>
                <w:szCs w:val="16"/>
                <w:color w:val="auto"/>
              </w:rPr>
              <w:t>(amounts in thousands)</w:t>
            </w:r>
          </w:p>
        </w:tc>
      </w:tr>
      <w:tr>
        <w:trPr>
          <w:trHeight w:val="33"/>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December 31,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27,532</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(25,951)</w:t>
            </w: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Accretion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Valuation gain for the period</w:t>
            </w:r>
          </w:p>
        </w:tc>
        <w:tc>
          <w:tcPr>
            <w:tcW w:w="200" w:type="dxa"/>
            <w:vAlign w:val="bottom"/>
          </w:tcPr>
          <w:p>
            <w:pPr>
              <w:spacing w:after="0"/>
              <w:rPr>
                <w:sz w:val="21"/>
                <w:szCs w:val="21"/>
                <w:color w:val="auto"/>
              </w:rPr>
            </w:pPr>
          </w:p>
        </w:tc>
        <w:tc>
          <w:tcPr>
            <w:tcW w:w="2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21"/>
                <w:szCs w:val="21"/>
                <w:color w:val="auto"/>
              </w:rPr>
            </w:pPr>
          </w:p>
        </w:tc>
        <w:tc>
          <w:tcPr>
            <w:tcW w:w="23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June 30,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660" w:right="20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Related to the Mediscan acquisition on October 30, 2015 and the USR acquisition on December 1, 2016. See Note 3 - Acquisitions. Valuation gain and accretion expense is included as acquisition-related contingent consideration on the condensed consolidated statements of operations.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As of June 30, 2017 and December 31, 2016, no impairment charges were deemed necessary.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 of the Company’s significant financial instruments that were not measured at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 2017</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2016</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540" w:type="dxa"/>
            <w:vAlign w:val="bottom"/>
          </w:tcPr>
          <w:p>
            <w:pPr>
              <w:spacing w:after="0"/>
              <w:rPr>
                <w:sz w:val="19"/>
                <w:szCs w:val="19"/>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Fair</w:t>
            </w:r>
          </w:p>
        </w:tc>
      </w:tr>
      <w:tr>
        <w:trPr>
          <w:trHeight w:val="230"/>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540" w:type="dxa"/>
            <w:vAlign w:val="bottom"/>
          </w:tcPr>
          <w:p>
            <w:pPr>
              <w:spacing w:after="0"/>
              <w:rPr>
                <w:sz w:val="20"/>
                <w:szCs w:val="20"/>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6"/>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Financial Liabilities:</w:t>
            </w:r>
          </w:p>
        </w:tc>
        <w:tc>
          <w:tcPr>
            <w:tcW w:w="2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37,588</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39,137</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Convertible Notes,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20,331</w:t>
            </w:r>
          </w:p>
        </w:tc>
        <w:tc>
          <w:tcPr>
            <w:tcW w:w="2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27,250</w:t>
            </w: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six months ended June 30, 2017 and 2016, the Company did not repurchase any shares of its Common Stock under its February 2008 Board authorization.</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June 30, 2017, the Company may purchase up to an additional 942,443 shares of Common Stock under the February 2008 Board authorization, subject to certain conditions in the Company's Credit Agreement. The Company may repurchase up to an aggregate amount not to exceed $2.5 million in any fiscal year, or an unlimited amount if the Company meets certain conditions as described in its Credit Agreement. At June 30, 2017, the Company had 35,740,394 shares of Common Stock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3,175,584 shares to its prior Convertible Notes noteholders. See Note 7 -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May 23, 2017, the Company's shareholders approved an amendment and restatement of its 2014 Omnibus Incentive Plan (2014 Plan), which, among others, included the following modifications: (i) a 2,000,000 share increase of the aggregate share reserve to 6,100,000 shares, (2) extension of the 2014 Plan until May 23, 2027, and (3) re-approval of the Section 162(m)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8" w:name="page19"/>
    <w:bookmarkEnd w:id="18"/>
    <w:p>
      <w:pPr>
        <w:ind w:right="820"/>
        <w:spacing w:after="0" w:line="277" w:lineRule="auto"/>
        <w:rPr>
          <w:sz w:val="20"/>
          <w:szCs w:val="20"/>
          <w:color w:val="auto"/>
        </w:rPr>
      </w:pPr>
      <w:r>
        <w:rPr>
          <w:rFonts w:ascii="Arial" w:cs="Arial" w:eastAsia="Arial" w:hAnsi="Arial"/>
          <w:sz w:val="18"/>
          <w:szCs w:val="18"/>
          <w:color w:val="auto"/>
        </w:rPr>
        <w:t>performance goals so that certain incentive awards granted to certain executive officers of the Company may qualify as exempt performance-based compensation.</w:t>
      </w:r>
    </w:p>
    <w:p>
      <w:pPr>
        <w:spacing w:after="0" w:line="170"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During the six months ended June 30, 2017, 300,047 of restricted stock awards and 181,067 targeted performance stock awards were granted under the 2014 Plan to the Company's non-employee directors and management team. The restricted stock awards vest ratably over a three year period and vesting is subject to the employee's continuing employment. The number of shares that are issued for the performance-based stock awards are determined based on the level of attainment of the performance targets. If the minimum level of performance is attained for the 2017 awards, restricted stock will be issued with a vesting date of March 31, 2020, subject to the employee’s continuing employment.</w:t>
      </w:r>
    </w:p>
    <w:p>
      <w:pPr>
        <w:spacing w:after="0" w:line="17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During the first quarter of 2017, the Company's Compensation Committee of the Board of Directors approved a 48% level of attainment for the 2016 performance-based share awards, resulting in the issuance of 86,784 performance shares that will vest on December 31, 2018.</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2014 Plan for the six months ended June 30,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Arial" w:cs="Arial" w:eastAsia="Arial" w:hAnsi="Arial"/>
                <w:sz w:val="18"/>
                <w:szCs w:val="18"/>
                <w:b w:val="1"/>
                <w:bCs w:val="1"/>
                <w:color w:val="auto"/>
              </w:rPr>
              <w:t>Restricted Stock Awards</w:t>
            </w:r>
          </w:p>
        </w:tc>
        <w:tc>
          <w:tcPr>
            <w:tcW w:w="3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 Date</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Number of Target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70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532,294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332,092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300,047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181,067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14.36</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(287,259)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(34,287)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(118,371)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June 30, 2017</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510,795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394,788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2017, $1.3 million and $2.0 million, respectively, was included in selling, general and administrative expenses related to share-based payments, and a net of 126,798 and 201,676 shares, respectively, of Common Stock were issued upon the vesting of restricted stock.</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2016, $1.1 million and $1.8 million, respectively, was included in selling, general and administrative expenses related to share-based payments, and a net of 164,274 and 215,365 shares, respectively, of Common Stock were issued upon the vesting of restricted stock.</w:t>
      </w:r>
    </w:p>
    <w:p>
      <w:pPr>
        <w:spacing w:after="0" w:line="17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2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United States.</w:t>
      </w:r>
    </w:p>
    <w:p>
      <w:pPr>
        <w:spacing w:after="0" w:line="188" w:lineRule="exact"/>
        <w:rPr>
          <w:rFonts w:ascii="Arial" w:cs="Arial" w:eastAsia="Arial" w:hAnsi="Arial"/>
          <w:sz w:val="18"/>
          <w:szCs w:val="18"/>
          <w:color w:val="auto"/>
        </w:rPr>
      </w:pPr>
    </w:p>
    <w:p>
      <w:pPr>
        <w:ind w:left="660" w:right="240" w:hanging="328"/>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(CRNAs),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(NPs), and physician assistants (PAs) as independent contractors on temporary assignments throughout the U.S. at various healthcare facilities, such as acute and non-acute care facilities, medical group practices, government facilities, and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United States.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Company’s management evaluates performance of each segment primarily based on revenue and contribution income. The Company defines contribution income as income or loss from operations before depreciation and amortization, loss on sale of business, acquisition-related contingent consideration, acquisition and integration costs, restructuring costs, impairment charges,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Topic of the FASB ASC. The Company’s management does not evaluate, manage or measure performance of segments using asset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3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ind w:right="691"/>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3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gridSpan w:val="3"/>
          </w:tcPr>
          <w:p>
            <w:pPr>
              <w:jc w:val="right"/>
              <w:ind w:right="70"/>
              <w:spacing w:after="0"/>
              <w:rPr>
                <w:sz w:val="20"/>
                <w:szCs w:val="20"/>
                <w:color w:val="auto"/>
              </w:rPr>
            </w:pPr>
            <w:r>
              <w:rPr>
                <w:rFonts w:ascii="Arial" w:cs="Arial" w:eastAsia="Arial" w:hAnsi="Arial"/>
                <w:sz w:val="16"/>
                <w:szCs w:val="16"/>
                <w:color w:val="auto"/>
                <w:w w:val="99"/>
              </w:rPr>
              <w:t>(amounts 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180,927</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172,048</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364,035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340,813</w:t>
            </w:r>
          </w:p>
        </w:tc>
      </w:tr>
      <w:tr>
        <w:trPr>
          <w:trHeight w:val="27"/>
        </w:trPr>
        <w:tc>
          <w:tcPr>
            <w:tcW w:w="3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24,720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6,833</w:t>
            </w:r>
          </w:p>
        </w:tc>
      </w:tr>
      <w:tr>
        <w:trPr>
          <w:trHeight w:val="27"/>
        </w:trPr>
        <w:tc>
          <w:tcPr>
            <w:tcW w:w="3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209,313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199,443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396,026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18,141</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17,615</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34,405</w:t>
            </w:r>
          </w:p>
        </w:tc>
      </w:tr>
      <w:tr>
        <w:trPr>
          <w:trHeight w:val="27"/>
        </w:trPr>
        <w:tc>
          <w:tcPr>
            <w:tcW w:w="3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20,429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37,966</w:t>
            </w:r>
          </w:p>
        </w:tc>
      </w:tr>
      <w:tr>
        <w:trPr>
          <w:trHeight w:val="297"/>
        </w:trPr>
        <w:tc>
          <w:tcPr>
            <w:tcW w:w="3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2,465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4,877</w:t>
            </w:r>
          </w:p>
        </w:tc>
      </w:tr>
      <w:tr>
        <w:trPr>
          <w:trHeight w:val="27"/>
        </w:trPr>
        <w:tc>
          <w:tcPr>
            <w:tcW w:w="3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4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24,311</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(17,016)</w:t>
            </w:r>
          </w:p>
        </w:tc>
        <w:tc>
          <w:tcPr>
            <w:tcW w:w="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(11,851)</w:t>
            </w:r>
          </w:p>
        </w:tc>
      </w:tr>
      <w:tr>
        <w:trPr>
          <w:trHeight w:val="20"/>
        </w:trPr>
        <w:tc>
          <w:tcPr>
            <w:tcW w:w="3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560" w:firstLine="8"/>
        <w:spacing w:after="0" w:line="503" w:lineRule="auto"/>
        <w:tabs>
          <w:tab w:leader="none" w:pos="40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Contingencies: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ind w:right="20"/>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condensed consolidated statements of operations and the liability is reflected in other current liabilities as of June 30, 2017 and December 31, 2016, on its condensed consolidated balance sheets.</w:t>
      </w:r>
    </w:p>
    <w:p>
      <w:pPr>
        <w:spacing w:after="0" w:line="18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For the periods ended June 30, 2017 and 2016, the Company has calculated its effective tax rate based on year-to-date results as opposed to estimating its annual effective tax rate. The Company’s effective tax rate for the three and six months ended June 30, 2017 was 12.6% and 24.2%, respectively, including the impact of discrete items. Excluding discrete items, the Company’s effective tax rate for the three and six months ended June 30, 2017 was 12.4% and 31.7%, respectively. The effective tax rates are different than the statutory rates primarily due to the impact from amortization of indefinite-lived intangible assets for tax purposes, the partial non-deductibility of certain per diem expenses, and international and state taxes.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Any conclusions made related to the deferred tax valuation allowance are based on a detailed evaluation of all available positive and negative evidence and the weight of such evidence. The Company believes it is necessary to see further positive evidence, such as sustained achievement of cumulative profits, before these valuation allowances can be released. Based on the Company's forecast, it is possible that the Company may release all or a portion of the remaining valuation allowance, within the next twelve months. The Company will continue to assess the realizability of its deferred tax assets.</w:t>
      </w:r>
    </w:p>
    <w:p>
      <w:pPr>
        <w:spacing w:after="0" w:line="18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As of June 30, 2017, the Company had approximately $1.0 million of unrecognized tax benefits included in other current liabilities and other long-term liabilities ($5.5 million, net of deferred taxes, which would affect the effective tax rate if recognized). During the six months ended June 30, 2017, the Company had gross increases of $0.6 million to its current year unrecognized tax benefits related to federal and state tax issues.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tax years of 2004, 2005, 2008, and 2010 through 2016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$0.9 million and $2.6 million for the three and six months ended June 30, 2017, respectively, and $1.3 million and $2.7 million for the three and six months ended June 30, 2016, respectively. Accounts receivable due from these hospitals at June 30, 2017 and December 31, 2016 were approximately $0.8 million and $1.0 million, respectively.</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the acquisition of MSN, the Company acquired a 68% ownership interest in Cross Country Talent Acquisition Group, LLC (formerly InteliStaf of Oklahoma, LLC), a joint venture between the Company and a hospital system. The Company generated revenue providing staffing services to the hospital system of $4.5 million and $8.7 million for the three and six months ended June 30, 2017, respectively, and $2.9 million and $6.0 million for the three and six months ended June 30, 2016, respectively. At June 30, 2017 and December 31, 2016, the Company had a receivable balance of $1.0 million and $1.5 million, respectively, and a payable balance of $0.3 million and $0.2 million, respectively.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and $0.2 million in rent expense for these premises for the three and six months ended June 30, 2017, respectively, and $0.1 million and $0.2 million for the three and six months ended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spacing w:after="0"/>
        <w:tabs>
          <w:tab w:leader="none" w:pos="400" w:val="left"/>
        </w:tabs>
        <w:rPr>
          <w:sz w:val="20"/>
          <w:szCs w:val="20"/>
          <w:color w:val="auto"/>
        </w:rPr>
      </w:pPr>
      <w:r>
        <w:rPr>
          <w:rFonts w:ascii="Arial" w:cs="Arial" w:eastAsia="Arial" w:hAnsi="Arial"/>
          <w:sz w:val="18"/>
          <w:szCs w:val="18"/>
          <w:b w:val="1"/>
          <w:bCs w:val="1"/>
          <w:color w:val="auto"/>
        </w:rPr>
        <w:t>15.</w:t>
        <w:tab/>
        <w:t>RECENT ACCOUNTING PRONOUNCEMENTS</w:t>
      </w:r>
    </w:p>
    <w:p>
      <w:pPr>
        <w:spacing w:after="0" w:line="22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of this Update change the classification analysis of certain equity-linked financial instruments (or embedded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When determining whether certain financial instruments should be classified as liabilities or equity instruments, a down round feature no longer precludes equity classification when assessing whether the instrument is indexed</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 an entity’s own stock.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and should be applied retrospectively to outstanding financial instruments with a down round feature by means of either a cumulative-effect adjustment or for each prior reporting period presented. Early adoption is permitted for all entities, including adoption in an interim period. The Company expects to adopt this standard in its first quarter of 2019, and does not expect this guidance to have a material impact on its consolidated financial statements.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to provide guidance about which changes to the terms or conditions of a share-based payment award require an entity to apply modification accounting in Topic 718. Under this guidance, an entity should account for the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all entities for annual periods, and interim periods within those annual periods, beginning after December 15, 2017 and is to be applied prospectively to an award modified on or after the adoption date. Early adoption is permitted. The Company expects to adopt this standard in its first quarter of 2018, and does not expect this guidance to have a material impact on its consolidated financial statements.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to simplify how an entity is required to test goodwill for impairment by eliminating Step 2 from the goodwill impairment test. Under this guidance, an entity would perform its annual, or interim goodwill impairment test by comparing the fair value of a reporting unit with its carrying amount. An impairment charge would be recognized for the amount by which the carrying amount exceeds the reporting unit’s fair value; however, the loss recognized should not exceed the total amount of goodwill allocated to that reporting unit. Additionally, an entity would consider income tax effects from any tax deductible goodwill on the carrying amount of the reporting unit when measuring the goodwill impairment loss, if applicable. An entity still has the option to perform the qualitative assessment for a reporting unit to determine if the quantitative impairment test is necessary. ASU 2017-04 is effective for annual or any interim goodwill impairment tests in fiscal years beginning after December 15, 2019 and is to be applied prospectively. Early adoption is permitted for interim or annual goodwill impairment tests performed on testing dates after January 1, 2017. The Company expects to early adopt this standard in 2017 in the first quarter in which an impairment test is performed, and does not expect this guidance to have a material impact on its consolidated financial statements.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clarifies the definition of a business, with the objective of adding guidance to assist entities with evaluating whether transactions should be accounted for as acquisitions (or disposals) of assets or businesses. This update provides a framework to assist entities in evaluating whether both an input and a substantive process are present, and narrows the definition of the term output so that the term is consistent with how outputs are described in the new revenue recognition standard. ASU 2017-01 is effective for annual periods beginning after December 15, 2017, and interim periods within those annual periods. Early adoption is permitted depending upon the date of the transaction. Entities should apply the guidance prospectively on or after the effective date. No disclosures are required at transition. The Company expects to adopt this standard in its first quarter of 2018, and does not expect this guidance to have a material impact on its consolidated financial statements.</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64" w:right="27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color w:val="auto"/>
        </w:rPr>
        <w:t>are required to use a modified retrospective approach for leases that exist or are entered into after the beginning of the earliest comparative period in the financial statements. Full retrospective application is prohibited. The Company expects the valuation of right of use assets and lease liabilities, previously described as operating leases, to be the present value of our forecasted future lease commitments. The Company is continuing to assess the overall impacts of the new standard, including the discount rate to be applied in these valuations. See Note 12 - Commitments and Contingencies to the audited consolidated financial statements included in the Company's Annual Report on Form 10-K.</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May 2014, the FASB and the International Accounting Standards Board jointly issued ASU No. 2014-09,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that introduces a new five-step revenue recognition model in which an entity should recognize revenue to depict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in an amount that reflects the consideration to which the entity expects to be entitled in exchange for those goods or services. This ASU also requires disclosures sufficient 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In March 2016, the FASB issued ASU 2016-08 which further clarifies the guidance on the principal versus agent considerations within ASU 2014-09. In April 2016, the FASB issued ASU 2016-10 to expand the guidance on identifying performance obligations and licensing within ASU 2014-09. In May 2016, the FASB issued ASU 2016-12 to improve revenue recognition in the areas of collectability, presentation of sales tax and other similar taxes collected from customers, non-cash consideration, contract modifications and completed contracts at transition. This update also amends the disclosure requirements within ASU 2014-09 for entities that retrospectively apply the guidance. The latest amendments are intended to address implementation issues that were raised by stakeholders and discussed by the Revenue Recognition Transition Resource Group, and provide additional practical expedients. These updates are effective for fiscal years beginning after December 15, 2017, including interim periods within that reporting period. The Company established a cross-functional implementation team consisting of representatives from across all of its business segments. The initial phase of analyzing and identifying revenue streams and potential impacts of the new guidance is progressing. The Company is currently in the process of performing a thorough review of its existing contracts and business practices with its largest customers within each revenue stream and business segment to assess the impacts of the new standard. Management expects these reviews to continue through the third quarter. Once this phase is complete, if applicable, management intends to evaluate and implement appropriate changes to its business processes, systems, and controls to support the recognition and disclosure requirements under the new standard. The Company is continuing to assess which transition method it will use to adopt this accounting standard and expects a full assessment through the date of adoption.</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5, 2017, the Company completed the acquisition of substantially all of the assets of Advantage RN, LLC and its subsidiaries (collectively, Advantage), which was effective July 1, 2017. Advantage is an independent travel nurse staffing company that deploys many of its nurses through Managed Service Provider and Vendor Management Systems and maintains direct relationships with many hospitals throughout the United States. The founder and CEO of Advantage will remain with the business after the transaction closes.</w:t>
      </w:r>
    </w:p>
    <w:p>
      <w:pPr>
        <w:spacing w:after="0" w:line="13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acquired substantially all of the assets of Advantage for a total purchase price of $88 million, which is subject to a final net working capital adjustment. The Company paid $86.8 million, net of cash acquired, plus related fees and expenses of $0.6 million, using available cash and borrowings of approximately $67.5 million under the existing Credit Facility, including a $40 million Incremental Term Loan. 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The amount paid at closing was subject to an initial net working capital adjustment of $0.6 million, and an additional $0.6 million was deferred and is due to the seller within 20 months, less any COBRA and healthcare expenses incurred by the Company on behalf of the former sellers.</w:t>
      </w:r>
    </w:p>
    <w:p>
      <w:pPr>
        <w:spacing w:after="0" w:line="4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expects to include the results of Advantage in its Nurse and Allied Staffing business segment. The Company is in the process of preparing the preliminary estimate of the fair value of assets acquired and liabilities assumed, which will be included in the Company's Quarterly Report on Form 10-Q for the quarterly period ended September 30, 2017.</w:t>
      </w:r>
    </w:p>
    <w:p>
      <w:pPr>
        <w:spacing w:after="0" w:line="4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Effective July 1, 2017, the Company entered into a Second Amendment to its Credit Agreement dated June 22, 2016 among the Company, all of its wholly-owned subsidiaries, the lenders party thereto and SunTrust Bank, as administrative agent, swingline lender and an issuing bank, to permit the acquisition of Advantage.</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Also in connection with the acquisition of Advantage, effective July 1, 2017, pursuant to the Credit Agreement, the Company entered into an Incremental Term Loan Agreement, by and among the Company, all of its wholly-owned subsidiaries and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49" w:right="279" w:bottom="1440" w:gutter="0" w:footer="0" w:header="0"/>
        </w:sectPr>
      </w:pPr>
    </w:p>
    <w:bookmarkStart w:id="23" w:name="page24"/>
    <w:bookmarkEnd w:id="23"/>
    <w:p>
      <w:pPr>
        <w:ind w:right="320"/>
        <w:spacing w:after="0" w:line="308" w:lineRule="auto"/>
        <w:rPr>
          <w:sz w:val="20"/>
          <w:szCs w:val="20"/>
          <w:color w:val="auto"/>
        </w:rPr>
      </w:pPr>
      <w:r>
        <w:rPr>
          <w:rFonts w:ascii="Arial" w:cs="Arial" w:eastAsia="Arial" w:hAnsi="Arial"/>
          <w:sz w:val="17"/>
          <w:szCs w:val="17"/>
          <w:color w:val="auto"/>
        </w:rPr>
        <w:t>SunTrust Bank as lender and administrative agent. The Incremental Term Loan Agreement provided the Company with an incremental term loan of $40.0 million to pay for part of the consideration of the acquisition. The maturity date for the Incremental Term Loan was June 22, 2021.</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Borrowings under the Incremental Term Loan were payable in quarterly installments, commencing September 30, 2017, with each such installment being in the aggregate principal amount (subject to adjustment as a result of prepayments) for the first eight installments equal to 1.875% and 2.5% of the principal amount of the Incremental Term Loan for the remaining installments; provided that, to the extent not previously paid, the aggregate unpaid principal balance would be due and payable on the maturity date. As of July 5, 2017 the Applicable Margin for Eurodollar Loans and LIBOR Index Rate Loans was 2.25% and the Applicable Margin for Base Rate Loans was 1.25%.</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Renewal</w:t>
      </w:r>
    </w:p>
    <w:p>
      <w:pPr>
        <w:spacing w:after="0" w:line="1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August 1, 2017, the Company entered into an Amendment and Restatement of its Credit Agreement dated June 22, 2016 among the Company, all of its wholly-owned subsidiaries, the lender parties thereto and SunTrust Bank, as administrative agent, swingline lender and an issuing bank (Amended and Restated Credit Agreement), to refinance and increase the current aggregate committed size of the facility to $215 million, including a term loan of $100.0 million (Amended Term Loan) and a $115 million revolving credit facility (Amended Revolving Credit Facility). The proceeds of $106.5 million from this refinancing included $6.5 million under the new revolving credit facility, and were used to repay borrowings under the Company's previously existing credit facilities, as well as to pay related interest, fees and expenses.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increasing the size of the facility, the maturity date was extended to July 31, 2022, and the Consolidated Total Leverage Ratio covenant, as defined therein, was amended to be no greater than 3.50:1.00 for the fiscal quarters ended September 30, 2017 through June 30, 2018, 3.25:1.00 for the fiscal quarters ended September 30, 2018 through June 30, 2019, and 3.00:1.00 for each fiscal quarter ended thereafter, and as adjusted pursuant to a Qualified Permitted Acquisition as defined therein. The Amended and Restated Credit Agreement also includes an accordion feature permitting the Company, subject to certain conditions, to increase the aggregate amount of the commitments under the Amended Revolving Credit Facility or establish one or more additional term loans in an aggregate amount not to exceed $50.0 million with optional additional commitments from existing lenders or new commitments from additional lenders. Other terms and pricing are substantially similar to the prior Credit Agreement. The Applicable Margin through September 30, 2017 remains at 2.25% for Eurodollar Loans and LIBOR Index Rate Loans and 1.25% for Base Rate Loans.</w:t>
      </w:r>
    </w:p>
    <w:p>
      <w:pPr>
        <w:spacing w:after="0" w:line="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Borrowings under the Amended Term Loan are payable in quarterly installments, commencing September 30, 2017, in an aggregate annual amount equal to 5% for the first four installments, 7.5% for the next eight installments, and 10% for the remaining installments; provided that, to the extent not previously paid, the aggregate unpaid principal balance would be due and payable on the maturity date.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Cross Country Healthcare, Inc.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provide healthcare staffing, recruiting and workforce solutions to our customers through a network of 85 office locations throughout the United States. Our services include placing clinicians on travel and per diem assignments, local short-term contracts, and permanent positions. In addition, we offer flexible workforce management solutions to our customers including: managed service programs (MSP), education healthcare, recruitment process outsourcing (RPO) and other outsourcing and value-added services as described in Item 1. Business in our Annual Report on Form 10-K for the year ended December 31, 2016. In addition, we provide both retained and contingent placement services for healthcare executives, physicians, and other healthcare professionals.</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the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4" w:name="page25"/>
    <w:bookmarkEnd w:id="24"/>
    <w:p>
      <w:pPr>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86% of our total revenue in the second quarter of 2017. Nurse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Allied Staffing provides traditional staffing, recruiting, and value-added workforce solutions including: temporary and permanent placement of travel and local branch-based nurse and allied professionals, MSP services, education healthcare services, and outsourcing services.</w:t>
      </w:r>
    </w:p>
    <w:p>
      <w:pPr>
        <w:spacing w:after="0" w:line="165" w:lineRule="exact"/>
        <w:rPr>
          <w:rFonts w:ascii="Arial" w:cs="Arial" w:eastAsia="Arial" w:hAnsi="Arial"/>
          <w:sz w:val="17"/>
          <w:szCs w:val="17"/>
          <w:color w:val="auto"/>
        </w:rPr>
      </w:pPr>
    </w:p>
    <w:p>
      <w:pPr>
        <w:ind w:left="660" w:right="480" w:hanging="328"/>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represented approximately 12% of our total revenue in the second quarter of 2017. Physician Staffing</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physicians in many specialties, as well as certified registered nurse anesthetists, nurse practitioners and physician assistants under our Medical Doctor Associates (MDA) brand as independent contractors on temporary assignments throughout the United States.</w:t>
      </w:r>
    </w:p>
    <w:p>
      <w:pPr>
        <w:spacing w:after="0" w:line="146" w:lineRule="exact"/>
        <w:rPr>
          <w:rFonts w:ascii="Arial" w:cs="Arial" w:eastAsia="Arial" w:hAnsi="Arial"/>
          <w:sz w:val="16"/>
          <w:szCs w:val="16"/>
          <w:color w:val="auto"/>
        </w:rPr>
      </w:pPr>
    </w:p>
    <w:p>
      <w:pPr>
        <w:jc w:val="both"/>
        <w:ind w:left="660" w:right="2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2%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second quarter of 2017. OHCMS is comprised of retained and contingent search services for physicians, healthcare executives, and other healthcare professionals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the quarter ended June 30, 2017, revenue from services grew 5% to $209.3 million, predominantly from growth in volume in all of our business segments. Net income attributable to common shareholders was $4.9 million, or $0.13 per diluted share.</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six months ended June 30, 2017, we generated cash flow from operations of $25.5 million. As of June 30, 2017, we had $33.9 million of cash and cash equivalents and $37.6 million of total debt. There were no borrowings drawn on our $100.0 million revolving credit facility, and $21.6 million of letters of credit outstanding, leaving $78.4 million available for borrowing. On July 5, 2017, we completed the acquisition of Advantage RN, LLC and its subsidiaries (collectively, Advantage) using available cash and an incremental term loan. Subsequently, on August 1, 2017, we renewed and increased the size of our Credit Agreement to a total of $215 million. See Note 7 - Debt and Note 16 - Subsequent Events to our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Results from Operations, Segments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gross profit margins,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1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16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Staffing revenue by the number of days worked in the respective periods. Nurse and</w:t>
            </w:r>
          </w:p>
        </w:tc>
      </w:tr>
      <w:tr>
        <w:trPr>
          <w:trHeight w:val="216"/>
        </w:trPr>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Allied Staffing revenue also includes revenue from the permanent placement of</w:t>
            </w:r>
          </w:p>
        </w:tc>
      </w:tr>
      <w:tr>
        <w:trPr>
          <w:trHeight w:val="230"/>
        </w:trPr>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nurses.</w:t>
            </w:r>
          </w:p>
        </w:tc>
      </w:tr>
      <w:tr>
        <w:trPr>
          <w:trHeight w:val="607"/>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6"/>
              </w:rPr>
              <w:t>Days filled is calculated by dividing the total hours invoiced during the period by 8</w:t>
            </w:r>
          </w:p>
        </w:tc>
      </w:tr>
      <w:tr>
        <w:trPr>
          <w:trHeight w:val="230"/>
        </w:trPr>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hours.</w:t>
            </w:r>
          </w:p>
        </w:tc>
      </w:tr>
      <w:tr>
        <w:trPr>
          <w:trHeight w:val="256"/>
        </w:trPr>
        <w:tc>
          <w:tcPr>
            <w:tcW w:w="16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Revenue per day filled is calculated by dividing revenue invoiced by days filled for</w:t>
            </w:r>
          </w:p>
        </w:tc>
      </w:tr>
      <w:tr>
        <w:trPr>
          <w:trHeight w:val="216"/>
        </w:trPr>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1"/>
              </w:rPr>
              <w:t>the period presented. Invoiced revenue excludes revenue from permanent placement</w:t>
            </w:r>
          </w:p>
        </w:tc>
      </w:tr>
      <w:tr>
        <w:trPr>
          <w:trHeight w:val="230"/>
        </w:trPr>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and accrued revenue.</w:t>
            </w:r>
          </w:p>
        </w:tc>
      </w:tr>
      <w:tr>
        <w:trPr>
          <w:trHeight w:val="41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7840" w:type="dxa"/>
            <w:vAlign w:val="bottom"/>
          </w:tcPr>
          <w:p>
            <w:pPr>
              <w:spacing w:after="0"/>
              <w:rPr>
                <w:sz w:val="24"/>
                <w:szCs w:val="24"/>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4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5040" w:type="dxa"/>
            <w:vAlign w:val="bottom"/>
          </w:tcPr>
          <w:p>
            <w:pPr>
              <w:spacing w:after="0"/>
              <w:rPr>
                <w:sz w:val="23"/>
                <w:szCs w:val="23"/>
                <w:color w:val="auto"/>
              </w:rPr>
            </w:pPr>
          </w:p>
        </w:tc>
        <w:tc>
          <w:tcPr>
            <w:tcW w:w="20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3"/>
                <w:szCs w:val="23"/>
                <w:color w:val="auto"/>
              </w:rPr>
            </w:pPr>
          </w:p>
        </w:tc>
      </w:tr>
      <w:tr>
        <w:trPr>
          <w:trHeight w:val="27"/>
        </w:trPr>
        <w:tc>
          <w:tcPr>
            <w:tcW w:w="50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5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73.3</w:t>
            </w:r>
          </w:p>
        </w:tc>
      </w:tr>
      <w:tr>
        <w:trPr>
          <w:trHeight w:val="27"/>
        </w:trPr>
        <w:tc>
          <w:tcPr>
            <w:tcW w:w="5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22.1</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0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0"/>
                <w:szCs w:val="20"/>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Loss (gain) on derivative liability</w:t>
            </w:r>
          </w:p>
        </w:tc>
        <w:tc>
          <w:tcPr>
            <w:tcW w:w="20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(3.2)</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20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0"/>
                <w:szCs w:val="20"/>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Consolidated net income (loss)</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Less: Net income attributable to noncontrolling interest in subsidiary</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0.5 %</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Comparison of Results for the Three Months Ended June 30, 2017 compared to the Three Months Ended June 30, 2016</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Costs of services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44,675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23,465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Loss on derivative liability</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111.4 %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160.6 %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22,087</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128.1 %</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Revenue from services increased 4.9%, to $209.3 million for the three months ended June 30, 2017, as compared to $199.4 million for the three months ended June 30, 2016, primarily reflecting increases in volume across all three business segments. See further discussion in Segment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Gross profit increased 3.1% to $56.5 million for the three months ended June 30, 2017, as compared to $54.8 million for the three months ended June 30, 2016, albeit a decline in gross margins to 27.0% from 27.5% in the prior year. The decrease in consolidated gross margin was primarily due to higher total compensation costs in Nurse and Allied Staffing, partly offset by higher gross profit margins in both Physician Staffing and OHCMS.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Selling, general and administrative expenses increased 4.3%, to $46.6 million for the three months ended June 30, 2017, as compared to $44.7 million for the three months ended June 30, 2016. The increase was primarily due to higher compensation and employee-related costs. As a percentage of total revenue, selling, general and administrative expenses were 22.3% and 22.4%, for the three months ended June 30, 2017 and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Depreciation and amortization expense totaled $2.3 million for the three months ended June 30, 2017 and $2.5 million for the three months ended June 30, 2016. As a percentage of revenue, depreciation and amortization expense was 1.1% and 1.2% for the three months ended June 30,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Acquisition-related contingent consideration totaled $0.3 million for the three months ended June 30, 2017 and $0.2 million for the three months ended June 30, 2016 and was related to our acquisitions of Mediscan and USR since their dates of acquisition. See Note 9 - Fair Value Measurements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the three months ended June 30, 2017, we incurred acquisition costs of $0.6 million, related to the acquisition of Advantage. There were no such costs for the three months ended June 30, 2016. See Note 16 - Subsequent Events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the second quarter of 2016, we conducted an assessment of our goodwill and identifiable intangible assets related to Physician Staffing, which resulted in impairment charges of $24.3 million relating to the reporting unit. We did not incur impairment charges during the three months ended June 30, 2017. See Note 6 - Goodwill, Trade Names, and Other Intangible Assets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Interest expense totaled $0.5 million and $1.6 million for the three months ended June 30, 2017 and June 30, 2016, respectively. The decline was due to the refinancing of our debt structure late in the second quarter of 2016, which resulted in lower overall borrowing costs. In addition, we paid our $25.0 million 8% fixed rate Convertible Notes on March 17, 2017. See Note 7 - Debt. The effective interest rate on our borrowings was 3.7% for the three month period ended June 30, 2017 compared to 9.1% for the three months ended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derivative liability</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incurred a loss on derivative liability of $3.6 million for the three months ended June 30, 2016, related to the change in the fair value of embedded features of our Convertible Notes from the end of the prior quarter. There were no such charges for the three months ended June 30, 2017 since we paid off the Convertible Notes in the first quarter of 2017. See Note 7 - Debt and Note 8 - Convertible Notes Derivative Liability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Loss on early extinguishment of debt of $1.6 million for the three months ended June 30, 2016 is related to the extinguishment of our Second Lien Term Loan and includes the write-off of unamortized net debt discount and issuance costs as well as a redemption premium of $0.6 million. There were no such costs for the three months ended June 30, 2017. See Note 7 - Debt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Income tax expense from continuing operations totaled $0.8 million for the three months ended June 30, 2017, related to the impact from amortization of indefinite-lived intangible assets for tax purposes. Income tax benefit from continuing operations totaled $6.6 million for the three months ended June 30, 2016, and was primarily related to the impairment charge recorded in the second quarter of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Comparison of Results for the Six Months Ended June 30, 2017 compared to the Six Months Ended June 30, 2016</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Six Months Ended June 30,</w:t>
            </w:r>
          </w:p>
        </w:tc>
        <w:tc>
          <w:tcPr>
            <w:tcW w:w="15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Increase</w:t>
            </w:r>
          </w:p>
        </w:tc>
      </w:t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70"/>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(Dollars in thousands)</w:t>
            </w:r>
          </w:p>
        </w:tc>
        <w:tc>
          <w:tcPr>
            <w:tcW w:w="150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Costs of services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307,083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290,134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16,949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87,608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Gain on derivative liability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87.7 %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223.4 %</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119.2 %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67.5 %</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116.3 %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59.1 %</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from services increased 5.3%, to $416.9 million for the six months ended June 30, 2017, as compared to $396.0 million for the six months ended June 30, 2016. The increase was entirely from Nurse and Allied Staffing, partially offset by lower revenue from Physician Staffing and OHCMS.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increased 3.7% to $109.8 million for the six months ended June 30, 2017, as compared to $105.9 million for the six months ended June 30, 2016, with gross margins of 26.3% and 26.7%, respectively. The decrease in consolidated gross margin was primarily due to higher total compensation costs for healthcare professionals in Nurse and Allied Staffing at certain large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increased 7.1%, to $93.8 million for the six months ended June 30, 2017, as compared to $87.6 million for the six months ended June 30, 2016. The increase was primarily due to investments in revenue- producing headcount, higher marketing costs for candidate attraction, and higher compensation and benefit costs. As a percentage of total revenue, selling, general and administrative expenses were 22.5% and 22.1%, for the six months ended June 30, 2017 and June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75"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Depreciation and amortization expense totaled $4.5 million for the six months ended June 30, 2017 and $4.9 million for the six months ended June 30,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depreciation and amortization expense was 1.1% and 1.2% for the six months ended June 30, 2017 and 2016,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Acquisition-related contingent consideration totaled $0.6 million for the six months ended June 30, 2017 and $0.5 million for the six months ended June 30, 2016 and was related to our acquisitions of Mediscan and USR, since their dates of acquisition. See Note 9 - Fair Value Measurements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six months ended June 30, 2017, we incurred acquisition costs of $0.6 million, related to the acquisition of Advantage. There were no such costs for the six months ended June 30, 2016. See Note 16 - Subsequent Events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six months ended June 30, 2016, we recorded impairment charges of $24.3 million related to our Physician Staffing reporting unit. We did not incur impairment charges during the six months ended June 30, 2017. See Note 6 - Goodwill, Trade Names, and Other Intangible Assets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totaled $1.8 million and $3.2 million for the six months ended June 30, 2017 and June 30, 2016, respectively. The decline was due to the refinancing of our debt structure late in the second quarter of 2016, which resulted in lower overall borrowing costs. In addition, we paid off our $25.0 million 8% fixed rate Convertible Notes on March 17, 2017. The effective interest rate on our borrowings was 5.7% for the six month period ended June 30, 2017 compared to 9.4% for the six months ended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had a gain on derivative liability of $1.6 million and $12.9 million for the six months ended June 30, 2017 and June 30, 2016, respectively, related to the change in the fair value of embedded features of our Convertible Notes. The gains in both periods primarily resulted from decreases in our share price from the end of the respective prior years through the 2017 payoff date and through June 30, 2016. The gain in 2016 was partially offset by a reduction in credit risk. See Note 7 - Debt and Note 8 - Convertible Notes Derivative Liability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Loss on early extinguishment of debt of $5.0 million for the six months ended June 30, 2017 relates to the write-off of original issue discount and debt issuance costs of $4.4 million and a pre-payment fee of $0.6 million due to the early settlement of our Convertible Notes. Loss on early extinguishment of debt was $1.6 million for the six months ended June 30, 2016 and related to the write-off of unamortized net debt discount and issuance costs, including a redemption premium of $0.6 million, related to our Second Lien Term Loan. See Note 7 -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Income tax expense from continuing operations totaled $1.1 million for the six months ended June 30, 2017, compared to income tax benefit of $5.8 million for the six months ended June 30, 2016. The six months ended June 30, 2016 included an income tax benefit related to the impairment charge recorded in the second quarter of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color w:val="auto"/>
              </w:rPr>
              <w:t>(amounts in thousands)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180,927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172,048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364,035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340,813</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48,380</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6,833</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199,443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396,026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18,141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17,615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33,763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34,405</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3,603</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37,966</w:t>
            </w:r>
          </w:p>
        </w:tc>
      </w:tr>
      <w:tr>
        <w:trPr>
          <w:trHeight w:val="324"/>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20,159</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2,465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4,877</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(17,016)</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(11,851)</w:t>
            </w: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7,155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6,884</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15,220</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14,480</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740</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5.1 %</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1,525</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33"/>
        </w:trPr>
        <w:tc>
          <w:tcPr>
            <w:tcW w:w="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Six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7,180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6,850</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30,256</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31,322</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(1,066)</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1,574</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1,523</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33"/>
        </w:trPr>
        <w:tc>
          <w:tcPr>
            <w:tcW w:w="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780" w:firstLine="8"/>
        <w:spacing w:after="0" w:line="495"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definition of Business Measurement under the Operating Metrics section of our Management's Discussion and Analysis. See Note 11 - Segment Data.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June 30, 2017 compared to the Three Months Ended June 30, 2016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Revenue from Nurse and Allied Staffing increased $8.9 million, or 5.2%, to $180.9 million for the three months ended June 30, 2017, as compared to $172.0 million for the three months ended June 30, 2016, predominantly due to higher volume.</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Contribution income from Nurse and Allied Staffing increased $0.5 million or 3.0%, to $18.1 million for the three months ended June 30, 2017, as compared to $17.6 million for the three months ended June 30, 2016. As a percentage of segment revenue, contribution income was 10.0% for the three months ended June 30, 2017, compared to 10.2% for the three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average number of Nurse and Allied Staffing FTEs on contract during the three months ended June 30, 2017 increased 3.9% from the three months ended June 30, 2016. The average Nurse and Allied Staffing revenue per FTE per day increased 1.1%, primarily reflecting a change in the mix of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Revenue from Physician Staffing increased $0.8 million, or 3.3%, to $24.7 million for the three months ended June 30, 2017, as compared to $23.9 million for the three months ended June 30, 2016. The increase in revenue was primarily due to higher volume of days filled and improved pricing.</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584" w:right="259" w:bottom="1440" w:gutter="0" w:footer="0" w:header="0"/>
          <w:type w:val="continuous"/>
        </w:sectPr>
      </w:pPr>
    </w:p>
    <w:bookmarkStart w:id="32" w:name="page33"/>
    <w:bookmarkEnd w:id="32"/>
    <w:p>
      <w:pPr>
        <w:jc w:val="both"/>
        <w:ind w:right="300"/>
        <w:spacing w:after="0" w:line="264" w:lineRule="auto"/>
        <w:rPr>
          <w:sz w:val="20"/>
          <w:szCs w:val="20"/>
          <w:color w:val="auto"/>
        </w:rPr>
      </w:pPr>
      <w:r>
        <w:rPr>
          <w:rFonts w:ascii="Arial" w:cs="Arial" w:eastAsia="Arial" w:hAnsi="Arial"/>
          <w:sz w:val="18"/>
          <w:szCs w:val="18"/>
          <w:color w:val="auto"/>
        </w:rPr>
        <w:t>Contribution income from Physician Staffing for the three months ended June 30, 2017 was $2.0 million, consistent with the three months ended June 30, 2016. As a percentage of segment revenue, contribution income was 8.3% for the three months ended June 30, 2017 and 8.6% for the three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Physician Staffing days filled increased 5.1%, to 15,220 days in the three months ended June 30, 2017, as compared to 14,480 days in the three months ended June 30, 2016, primarily due to volume growth in advanced practice professionals. Revenue per day filled for the three months ended June 30, 2017 was $1,557, up 2.1% over the prior year, due to improved pricing, and was impacted by faster growth in lower bill rate specialties.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Revenue from OHCMS increased $0.2 million, or 5.7%, to $3.7 million for the three months ended June 30, 2017, as compared to $3.5 million for the three months ended June 30, 2016, primarily due to a higher level of physician placements made in the second quarter of 2017. Contribution income from OHCMS was $0.2 million for the three months ended June 30, 2017, as compared to $0.1 million for the three months ended June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$10.8 million for the three months ended June 30, 2017 compared to $9.8 million for the three months ended June 30, 2016, due to an increase in compensation and benefits. As a percentage of consolidated revenue, unallocated corporate overhead was 5.2% for the three months ended June 30, 2017 and 4.9% for the three months ended June 30,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Six Months Ended June 30, 2017 compared to the Six Months Ended June 30, 2016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Revenue from Nurse and Allied Staffing increased $23.2 million, or 6.8%, to $364.0 million for the six months ended June 30, 2017, as compared to $340.8 million for the six months ended June 30, 2016. The year-over-year increase was due to higher volume and improved pricing.</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Contribution income from Nurse and Allied Staffing decreased $0.6 million or 1.9%, to $33.8 million for the six months ended June 30, 2017, as compared to $34.4 million for the six months ended June 30, 2016. As a percentage of segment revenue, contribution income was 9.3% for the six months ended June 30, 2017, compared to 10.1% for the six months ended June 30, 2016. The decrease is primarily attributable to higher compensation packages provided to our field staff and increased investments in revenue-producing headcount and marketing spend to support recent contract wins.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average number of Nurse and Allied Staffing FTEs on contract during the six months ended June 30, 2017 increased 4.8% from the six months ended June 30, 2016. The average Nurse and Allied Staffing revenue per FTE per day increased 2.6%, reflecting higher average bill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from Physician Staffing decreased $2.2 million, or 4.5%, to $46.2 million for the six months ended June 30, 2017, as compared to $48.4 million for the six months ended June 30, 2016, primarily due to lower volume of days filled in the first quarter of 2017.</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Contribution income from Physician Staffing decreased $0.7 million or 20.4%, to $2.9 million for the six months ended June 30, 2017, compared to $3.6 million for the six months ended June 30, 2016. As a percentage of segment revenue, contribution income was 6.2% for the six months ended June 30, 2017 and 7.4% for the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Physician Staffing days filled decreased 3.4%, to 30,256 days in the six months ended June 30, 2017, as compared to 31,322 days in the six months ended June 30, 2016. Revenue per day filled for the six months ended June 30, 2017 was $1,574, up 3.3% over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Revenue from OHCMS decreased $0.1 million, or 2.4%, to $6.7 million for the six months ended June 30, 2017, as compared to $6.8 million for the six months ended June 30, 2016. The decrease in revenue was primarily due to a decrease in executive searches and placements, partially offset by higher physician placements.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Contribution loss from OHCMS was $0.2 million for the six months ended June 30, 2017, as compared to a loss of less than $0.1 million for the six months ended June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$21.1 million for the six months ended June 30, 2017 compared to $20.2 million for the six months ended June 30, 2016. As a percentage of consolidated revenue, unallocated corporate overhead was 5.1% for the six months ended June 30, 2017 and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At June 30, 2017, we had $33.9 million in cash and cash equivalents and $37.6 million of total debt. Working capital increased to $110.9 million as of June 30, 2017 from $108.5 million as of December 31, 2016. Our net days' sales outstanding (DSO), which excludes amounts owed to subcontractors, decreased 4 days to 51 days as of June 30, 2017, compared to 55 days as of December 31, 2016.</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Credit Agreement, as amended and restated. See debt discussion which follows. Operating cash flows and cash on hand, along with amounts available under our revolving credit facility, should be sufficient to meet these needs during the next twelve months.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Net cash provided by operating activities was $25.5 million in the six months ended June 30, 2017 compared to $12.9 million in the six months ended June 30, 2016, primarily due to higher collections of accounts receivable in the six months ended June 30, 2017.</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investing activities was $3.4 million in the six months ended June 30, 2017, compared to $4.5 million in the six months ended June 30, 2016. The primary use for cash in both periods was for capital expenditures, and acquisition-related settlements of $1.9 million in the six months ended June 30, 2016.</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used in financing activities during the six months ended June 30, 2017 was $8.9 million, compared to $0.6 million during the six months ended June 30, 2016. During the six months ended June 30, 2017, we paid off our Convertible Notes with a partial cash payment of $5.0 million and paid $0.6 million in related extinguishment fees. We also reduced the principal amount of our term debt by $1.5 million for scheduled repayments. During the six months ended June 30, 2016, we entered into a Senior Credit Facility which provided us with $40.0 million of borrowings under the Term Loan Facility. Part of the proceeds from the borrowings were used to prepay our $30.0 million Second Lien Term Loan including a prepayment penalty of $0.6 million and $1.0 million of debt issuance costs. In addition, during the six months ended June 30, 2016, we repaid a net of $8.0 million on our senior secured asset-based credit facility, used $0.6 million to pay for shares withheld for taxes and used $0.3 million to pay a noncontrolling shareholder.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Senior Credit Facilities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more fully described in Note 7 - Debt to our condensed consolidated financial statements, as of June 30, 2017, our debt included a senior credit agreement (Credit Agreement), which provided a term loan of $40.0 million (Term Loan) and a revolving credit facility of up to $100.0 million (Revolving Credit Facility) (together with the Term Loan, the Senior Credit Facilities) both of which would have matured in five years. As of June 30, 2017, the Term Loan and Revolving Credit Facility bore interest at a rate equal to One Month LIBOR plus 175 basis points and $78.4 million was available under the Revolving Credit Facility.</w:t>
      </w:r>
    </w:p>
    <w:p>
      <w:pPr>
        <w:spacing w:after="0" w:line="1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July 5, 2017, we completed the acquisition of substantially all of the assets of Advantage RN, LLC and its subsidiaries (collectively, Advantage), which was effective July 1, 2017, for a total purchase price of $88 million, which is subject to a final net working capital adjustment. We paid $86.8 million, net of cash acquired, plus related fees and expenses of $0.6 million, using available cash and $67.5 million in borrowings under our Credit Facility, including a $40 million Incremental Term Loan.</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Effective July 1, 2017, we entered into a Second Amendment to our Credit Agreement dated June 22, 2016, to permit the acquisition of Advantage. Also in connection with the acquisition of Advantage, effective July 1, 2017, pursuant to the Credit Agreement, we entered into an Incremental Term Loan Agreement which provided us with an incremental term loan of $40.0 million to pay for part of the consideration of the acquisition.</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Subsequently, on August 1, 2017, we entered into an Amendment and Restatement to our Credit Agreement (Amended and Restated Credit Agreement) to refinance and increase the current aggregate committed size of the facility to $215 million, including a term loan of $100.0 million (Amended Term Loan) and a $115 million revolving credit facility (Amended Revolving Credit Facility). The proceeds of $106.5 million from this refinancing included $6.5 million under the new revolving credit facility, and were used to repay borrowings under our previously existing credit facilities, as well as to pay related interest, fees and expenses. Effective at closing, the Applicable Margin through September 30, 2017 is 2.25% for Eurodollar Loans and LIBOR Index Rate Loans and 1.25% for Base Rate Loans. As of August 1, 2017, we had a $100.0 million Amended Term Loan and $21.6 million in letters of credit outstanding, leaving $93.4 million available under the Amended Revolving Credit Facility. We believe this provides us with the ability to continue to execute our strategy to grow the business. See Note 16 - Subsequent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17, 2017, we 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inception of the notes, and at the time of the payoff, the conversion price of $7.10 was below the market price. The initial agreement allowed us to force conversion of the Notes only after three years, beginning July 1, 2017, and if the VWAP exceeded 125% of the Conversion Price for 20 days of a 30 day trading period (the threshold was $8.88, which we were well above). As such, we and the Noteholders agreed to an early settlement at fair value based on the stock price. In connection with the repayment, we issued to the Noteholders an aggregate of 3,175,584 shares of Common Stock and cash in the aggregate amount of $5.6 million. See Note 7 -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Stockholders' Equity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9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reflects our contractual obligations and other commitments as of June 30, 2017 and does not reflect our subsequent amendment and restatement of our Credit Agreement. See Note 16 - Subsequent Events.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(d)</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89,425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7"/>
        </w:trPr>
        <w:tc>
          <w:tcPr>
            <w:tcW w:w="34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w:t>
            </w: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Term Loan under our senior credit agreement was subsequently refinanced. See Note 16 - Subsequent Events.</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June 30, 2017 applicable LIBOR and margin rate totaling 2.8%.</w:t>
      </w:r>
    </w:p>
    <w:p>
      <w:pPr>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sellers related to the Mediscan and USR acquisitions, including accretion. While it is not certain if, or when, these contingent payments will be made,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12 -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critical accounting policies and estimates remain consistent with those reported in our Annual Report on Form 10-K for the year ended December 31, 2016, filed with the SEC.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0" w:right="27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exposed to the risk of fluctuation in interest rates relating to our variable rate debt related to our Senior Credit Facilities. During the six months ended June 30, 2017 or 2016, we did not use interest rate swaps or other types of derivative financial instruments to hedge our interest rate risk. Our current credit agreement charges us interest at a rate of LIBOR plus a leverage-based margin. See Note 7 - Debt to our condensed consolidated financial statements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Aside from settlement of our Convertible Notes as described in Note 7 - Debt to our condensed consolidated financial statements, there have been no material changes to our other exposures as disclosed in our Annual Report on Form 10-K filed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364" w:right="27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364" w:right="299" w:bottom="1440" w:gutter="0" w:footer="0" w:header="0"/>
        </w:sectPr>
      </w:pPr>
    </w:p>
    <w:bookmarkStart w:id="38" w:name="page39"/>
    <w:bookmarkEnd w:id="38"/>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364" w:right="479" w:bottom="1440" w:gutter="0" w:footer="0" w:header="0"/>
        </w:sectPr>
      </w:pPr>
    </w:p>
    <w:bookmarkStart w:id="39" w:name="page40"/>
    <w:bookmarkEnd w:id="39"/>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EVP &amp; Chief Financial Officer (Principal Accounting and Financial</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580"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492"/>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Asset Purchase Agreement, dated June 13, 2017, among Cross Country Healthcare, Inc., as Buyer, Advantage RN, LLC, Advantage</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On Call, LLC, Advantage Locums, LLC, and Advantage RN Local Staffing, the Seller Parties, and Seller Representative (Previously</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as an exhibit to the Company's Form 8-K dated June 13, 2017 and incorporated by reference herein.)</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Incremental Term Loan Agreement, dated July 1, 2017 to Credit Agreement, dated June 22, 2016, by and among Cross Country</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Healthcare, Inc., as borrower, certain of its domestic subsidiaries, as guarantors, Suntrust Bank, as lender, and Suntrust Bank, as agent</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(Previously filed as an exhibit to the Company's Form 8-K dated July 6, 2017 and incorporated by reference herein.)</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Second Amendment to Credit Agreement, dated July 5, 2017 to Credit Agreement, dated June 22, 2016, by and among Cross Country</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Healthcare, Inc., as borrower, certain of its domestic subsidiaries, as guarantors, the Lenders referenced therein, and Suntrust Bank, as</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agent (Previously filed as an exhibit to the Company's Form 8-K dated July 6, 2017 and incorporated by reference herein.)</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Amended and Restated Credit Agreement, dated August 1, 2017 to Credit Agreement, by and among Cross Country Healthcare, Inc.,</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as borrower, certain of its domestic subsidiaries, as guarantors, the Lenders referenced therein, SunTrust Bank, as Administrative</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Agent, Swingline Lender and an issuing bank; BMO Harris Bank, N.A. as Syndication Agent; and Bank United N.A. and Fifth Third</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Bank as Co-Documentation Agents (Previously filed as an exhibit to the Company's Form 8-K dated August 2, 2017 and incorporated</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by reference herein.)</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Certification pursuant to Rule 13a-14(a) and Rule 15d-14 (a) by William J. Grubbs, President, Chief Executive Officer, Director</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William J. Burns, EVP &amp; Chief Financial Officer (Principal</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Accounting and Financial Officer)</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9"/>
              </w:rPr>
              <w:t>Certification pursuant to 18 U.S.C. Section 1350 by William J. Grubbs, President, Chief Executive Officer, Director (Principal</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8"/>
              </w:rPr>
              <w:t>Certification pursuant to 18 U.S.C. Section 1350 by William J. Burns, EVP &amp; Chief Financial Officer (Principal Accounting and</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Financial Officer)</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EVP &amp;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June 30, 2017,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June 30, 2017, (the "Periodic Report"), I, William J. Burns, EVP &amp;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EVP &amp;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Roman"/>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Roman"/>
      <w:start w:val="2"/>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2"/>
    </w:lvl>
  </w:abstractNum>
  <w:abstractNum w:abstractNumId="15">
    <w:nsid w:val="3F2DBA31"/>
    <w:multiLevelType w:val="hybridMultilevel"/>
    <w:lvl w:ilvl="0">
      <w:lvlJc w:val="left"/>
      <w:lvlText w:val="%1."/>
      <w:numFmt w:val="decimal"/>
      <w:start w:val="13"/>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2019-12-29T05:39:32Z</dcterms:created>
  <dcterms:modified xsi:type="dcterms:W3CDTF">2019-12-29T05:39:32Z</dcterms:modified>
</cp:coreProperties>
</file>