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color w:val="000000"/>
        </w:rPr>
      </w:pPr>
      <w:r>
        <w:rPr>
          <w:color w:val="000000"/>
        </w:rPr>
        <w:t>———————</w:t>
      </w:r>
    </w:p>
    <w:p>
      <w:pPr>
        <w:pStyle w:val="TextBody"/>
        <w:bidi w:val="0"/>
        <w:spacing w:lineRule="auto" w:line="288" w:before="120" w:after="283"/>
        <w:jc w:val="center"/>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2025 </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120" w:after="283"/>
        <w:jc w:val="center"/>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60" w:after="283"/>
        <w:jc w:val="center"/>
        <w:rPr/>
      </w:pPr>
      <w:r>
        <w:rPr>
          <w:rFonts w:ascii="Times New Roman;sans-serif" w:hAnsi="Times New Roman;sans-serif"/>
          <w:b/>
          <w:color w:val="000000"/>
          <w:sz w:val="18"/>
        </w:rPr>
        <w:t>For the Transition Period From</w:t>
      </w:r>
      <w:r>
        <w:rPr>
          <w:color w:val="000000"/>
        </w:rPr>
        <w:t xml:space="preserve"> </w:t>
      </w:r>
      <w:r>
        <w:rPr>
          <w:rFonts w:ascii="Times New Roman;sans-serif" w:hAnsi="Times New Roman;sans-serif"/>
          <w:b w:val="false"/>
          <w:color w:val="000000"/>
          <w:sz w:val="18"/>
        </w:rPr>
        <w:t xml:space="preserve">_________ </w:t>
      </w:r>
      <w:r>
        <w:rPr>
          <w:rFonts w:ascii="Times New Roman;sans-serif" w:hAnsi="Times New Roman;sans-serif"/>
          <w:b/>
          <w:color w:val="000000"/>
          <w:sz w:val="18"/>
        </w:rPr>
        <w:t>to</w:t>
      </w:r>
      <w:r>
        <w:rPr>
          <w:color w:val="000000"/>
        </w:rPr>
        <w:t xml:space="preserve"> </w:t>
      </w:r>
      <w:r>
        <w:rPr>
          <w:rFonts w:ascii="Times New Roman;sans-serif" w:hAnsi="Times New Roman;sans-serif"/>
          <w:b w:val="false"/>
          <w:color w:val="000000"/>
          <w:sz w:val="18"/>
        </w:rPr>
        <w:t>_________</w:t>
      </w:r>
    </w:p>
    <w:p>
      <w:pPr>
        <w:pStyle w:val="TextBody"/>
        <w:bidi w:val="0"/>
        <w:spacing w:before="0" w:after="0"/>
        <w:jc w:val="center"/>
        <w:rPr/>
      </w:pPr>
      <w:r>
        <w:rPr/>
        <w:drawing>
          <wp:inline distT="0" distB="0" distL="0" distR="0">
            <wp:extent cx="23717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952500"/>
                    </a:xfrm>
                    <a:prstGeom prst="rect">
                      <a:avLst/>
                    </a:prstGeom>
                  </pic:spPr>
                </pic:pic>
              </a:graphicData>
            </a:graphic>
          </wp:inline>
        </w:drawing>
      </w:r>
      <w:bookmarkStart w:id="0" w:name="i-1"/>
      <w:bookmarkEnd w:id="0"/>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CROSS COUNTRY HEALTHCARE, INC.</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p>
      <w:pPr>
        <w:pStyle w:val="TextBody"/>
        <w:bidi w:val="0"/>
        <w:spacing w:lineRule="auto" w:line="288" w:before="0" w:after="0"/>
        <w:jc w:val="center"/>
        <w:rPr>
          <w:color w:val="000000"/>
        </w:rPr>
      </w:pPr>
      <w:r>
        <w:rPr>
          <w:color w:val="000000"/>
        </w:rPr>
        <w:t>———————</w:t>
      </w:r>
    </w:p>
    <w:tbl>
      <w:tblPr>
        <w:tblW w:w="5131" w:type="dxa"/>
        <w:jc w:val="center"/>
        <w:tblInd w:w="0" w:type="dxa"/>
        <w:tblLayout w:type="fixed"/>
        <w:tblCellMar>
          <w:top w:w="28" w:type="dxa"/>
          <w:left w:w="28" w:type="dxa"/>
          <w:bottom w:w="28" w:type="dxa"/>
          <w:right w:w="28" w:type="dxa"/>
        </w:tblCellMar>
      </w:tblPr>
      <w:tblGrid>
        <w:gridCol w:w="851"/>
        <w:gridCol w:w="749"/>
        <w:gridCol w:w="755"/>
        <w:gridCol w:w="334"/>
        <w:gridCol w:w="334"/>
        <w:gridCol w:w="338"/>
        <w:gridCol w:w="516"/>
        <w:gridCol w:w="516"/>
        <w:gridCol w:w="738"/>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0-33169</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13-4066229</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w:t>
              <w:br/>
              <w:t>file number</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Number)</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6551 Park of Commerce Boulevard, N.W.</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Boca Raton, Florida 33487</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(561) 998-2232</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former address and former fiscal year, if changed since last report)</w:t>
      </w:r>
    </w:p>
    <w:p>
      <w:pPr>
        <w:pStyle w:val="TextBody"/>
        <w:bidi w:val="0"/>
        <w:spacing w:lineRule="auto" w:line="288" w:before="0" w:after="0"/>
        <w:jc w:val="center"/>
        <w:rPr>
          <w:color w:val="000000"/>
        </w:rPr>
      </w:pPr>
      <w:r>
        <w:rPr>
          <w:color w:val="000000"/>
        </w:rPr>
        <w: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98" w:type="dxa"/>
        <w:jc w:val="center"/>
        <w:tblInd w:w="0" w:type="dxa"/>
        <w:tblLayout w:type="fixed"/>
        <w:tblCellMar>
          <w:top w:w="28" w:type="dxa"/>
          <w:left w:w="28" w:type="dxa"/>
          <w:bottom w:w="28" w:type="dxa"/>
          <w:right w:w="28" w:type="dxa"/>
        </w:tblCellMar>
      </w:tblPr>
      <w:tblGrid>
        <w:gridCol w:w="1177"/>
        <w:gridCol w:w="1036"/>
        <w:gridCol w:w="1042"/>
        <w:gridCol w:w="454"/>
        <w:gridCol w:w="454"/>
        <w:gridCol w:w="456"/>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CCRN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jc w:val="center"/>
        <w:rPr/>
      </w:pP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 xml:space="preserve">Accelerated filer </w:t>
      </w:r>
      <w:r>
        <w:rPr>
          <w:color w:val="000000"/>
        </w:rPr>
        <w:t xml:space="preserve">☒ </w:t>
      </w:r>
      <w:r>
        <w:rPr>
          <w:rFonts w:ascii="Times New Roman;sans-serif" w:hAnsi="Times New Roman;sans-serif"/>
          <w:b w:val="false"/>
          <w:color w:val="000000"/>
          <w:sz w:val="18"/>
        </w:rPr>
        <w:t>Non-accelerated filer </w:t>
      </w:r>
      <w:r>
        <w:rPr>
          <w:color w:val="000000"/>
        </w:rPr>
        <w:t xml:space="preserve">☐ </w:t>
      </w:r>
    </w:p>
    <w:p>
      <w:pPr>
        <w:pStyle w:val="TextBody"/>
        <w:bidi w:val="0"/>
        <w:spacing w:lineRule="auto" w:line="288" w:before="0" w:after="0"/>
        <w:jc w:val="center"/>
        <w:rPr/>
      </w:pP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w:t>
      </w:r>
    </w:p>
    <w:p>
      <w:pPr>
        <w:pStyle w:val="TextBody"/>
        <w:bidi w:val="0"/>
        <w:spacing w:lineRule="auto" w:line="288" w:before="0" w:after="0"/>
        <w:jc w:val="left"/>
        <w:rPr/>
      </w:pPr>
      <w:r>
        <w:rPr>
          <w:rFonts w:ascii="Times New Roman;sans-serif" w:hAnsi="Times New Roman;sans-serif"/>
          <w:b w:val="false"/>
          <w:color w:val="000000"/>
          <w:sz w:val="18"/>
        </w:rPr>
        <w:t xml:space="preserve">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8"/>
        </w:rPr>
        <w:t>The registrant had outstandin</w:t>
      </w:r>
      <w:r>
        <w:rPr>
          <w:rFonts w:ascii="Times New Roman;sans-serif" w:hAnsi="Times New Roman;sans-serif"/>
          <w:b w:val="false"/>
          <w:color w:val="000000"/>
          <w:sz w:val="18"/>
          <w:shd w:fill="FFFFFF" w:val="clear"/>
        </w:rPr>
        <w:t xml:space="preserve">g </w:t>
      </w:r>
      <w:r>
        <w:rPr>
          <w:rFonts w:ascii="Times New Roman;sans-serif" w:hAnsi="Times New Roman;sans-serif"/>
          <w:b w:val="false"/>
          <w:color w:val="000000"/>
          <w:sz w:val="20"/>
          <w:shd w:fill="FFFFFF" w:val="clear"/>
        </w:rPr>
        <w:t>32,783,168</w:t>
      </w:r>
      <w:r>
        <w:rPr>
          <w:color w:val="000000"/>
          <w:shd w:fill="FFFFFF" w:val="clear"/>
        </w:rPr>
        <w:t xml:space="preserve"> </w:t>
      </w:r>
      <w:r>
        <w:rPr>
          <w:rFonts w:ascii="Times New Roman;sans-serif" w:hAnsi="Times New Roman;sans-serif"/>
          <w:b w:val="false"/>
          <w:color w:val="000000"/>
          <w:sz w:val="18"/>
        </w:rPr>
        <w:t>shares of common stock, par value $0.0001 per share, as of April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RELATING TO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pPr>
      <w:r>
        <w:rPr>
          <w:rFonts w:ascii="Times New Roman;sans-serif" w:hAnsi="Times New Roman;sans-serif"/>
          <w:b w:val="false"/>
          <w:color w:val="000000"/>
          <w:sz w:val="20"/>
        </w:rPr>
        <w:t xml:space="preserve">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Statements regarding the proposed Aya Merger (as defined below); the expected timing and closing of the proposed Aya Merger; the Company’s ability to consummate the proposed Aya Merger; the expected benefits of the proposed Aya Merger and other considerations taken into account by the Company’s Board of Directors in approving the proposed Aya Merger; the amounts to be received by stockholders in connection with the proposed Aya Merger; and expectations for the Company prior to and following the closing of the proposed Aya Merger, may be deemed to be forward-looking statements.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timing to consummate the proposed Aya Merger, the risk that a condition of closing of the proposed Aya Merger may not be satisfied or that the closing of the proposed Aya Merger might otherwise not occur, the risk that a regulatory approval that may be required for the proposed Aya Merger is not obtained or is obtained subject to conditions that are not anticipated, the diversion of management time on transaction-related issues, risks related to disruption of management time from ongoing business operations due to the proposed Aya Merger, the risk that any announcements relating to the proposed Aya Merger could have adverse effects on the market price of the common stock of the Company, the risk that the proposed Aya Merger and its announcement could have an adverse effect on the ability of the Company to retain customers and retain and hire key personnel and maintain relationships with its suppliers and customers, the occurrence of any event, change or other circumstance or condition that could give rise to the termination of the Merger Agreement, including in circumstances requiring the Company to pay a termination fee, the risk that competing offers will be made, unexpected costs, charges or expenses resulting from the Aya Merger, potential litigation relating to the Aya Merger that could be instituted against the parties to the Merger Agreement or their respective directors, managers or officers, including the effects of any outcomes related thereto, </w:t>
      </w:r>
      <w:r>
        <w:rPr>
          <w:rFonts w:ascii="Times New Roman;sans-serif" w:hAnsi="Times New Roman;sans-serif"/>
          <w:b w:val="false"/>
          <w:color w:val="000000"/>
          <w:sz w:val="20"/>
          <w:shd w:fill="FFFFFF" w:val="clear"/>
        </w:rPr>
        <w:t>the overall macroeconomic environment, including increased inflation and interest rates, dema</w:t>
      </w:r>
      <w:r>
        <w:rPr>
          <w:rFonts w:ascii="Times New Roman;sans-serif" w:hAnsi="Times New Roman;sans-serif"/>
          <w:b w:val="false"/>
          <w:color w:val="000000"/>
          <w:sz w:val="20"/>
        </w:rPr>
        <w:t>nd for the healthcare services that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2024, as amended by Amendment No. 1 on Form 10-K/A (2024 Form 10-K), as filed and updated in our subsequent Quarterly Reports on Form 10-Q and other filings with the Securities and Exchange Commission (SEC).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Although we believe that these statements are based upon reasonable assumptions, we cannot guarantee future results</w:t>
      </w:r>
      <w:r>
        <w:rPr>
          <w:color w:val="000000"/>
        </w:rPr>
        <w:t> </w:t>
      </w:r>
      <w:r>
        <w:rPr>
          <w:rFonts w:ascii="Times New Roman;sans-serif" w:hAnsi="Times New Roman;sans-serif"/>
          <w:b w:val="false"/>
          <w:color w:val="000000"/>
          <w:sz w:val="20"/>
        </w:rPr>
        <w:t>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to “the Company”, “we”, “us”, “our”, or “Cross Country” in this Quarterly Report on Form 10-Q mean Cross Country Healthcare,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tbl>
      <w:tblPr>
        <w:tblW w:w="10205" w:type="dxa"/>
        <w:jc w:val="center"/>
        <w:tblInd w:w="0" w:type="dxa"/>
        <w:tblLayout w:type="fixed"/>
        <w:tblCellMar>
          <w:top w:w="28" w:type="dxa"/>
          <w:left w:w="28" w:type="dxa"/>
          <w:bottom w:w="28" w:type="dxa"/>
          <w:right w:w="28" w:type="dxa"/>
        </w:tblCellMar>
      </w:tblPr>
      <w:tblGrid>
        <w:gridCol w:w="608"/>
        <w:gridCol w:w="536"/>
        <w:gridCol w:w="536"/>
        <w:gridCol w:w="2628"/>
        <w:gridCol w:w="2617"/>
        <w:gridCol w:w="2631"/>
        <w:gridCol w:w="189"/>
        <w:gridCol w:w="189"/>
        <w:gridCol w:w="271"/>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
              <w:r>
                <w:rPr>
                  <w:rStyle w:val="InternetLink"/>
                  <w:rFonts w:ascii="Times New Roman;sans-serif" w:hAnsi="Times New Roman;sans-serif"/>
                  <w:b w:val="false"/>
                  <w:color w:val="0000FF"/>
                  <w:sz w:val="20"/>
                  <w:u w:val="single"/>
                </w:rPr>
                <w:t>PART I. – FINANCIAL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3">
              <w:r>
                <w:rPr>
                  <w:rStyle w:val="InternetLink"/>
                  <w:rFonts w:ascii="Times New Roman;sans-serif" w:hAnsi="Times New Roman;sans-serif"/>
                  <w:b w:val="false"/>
                  <w:color w:val="0000FF"/>
                  <w:sz w:val="20"/>
                  <w:u w:val="single"/>
                </w:rPr>
                <w:t>1</w:t>
              </w:r>
            </w:hyperlink>
          </w:p>
        </w:tc>
      </w:tr>
      <w:tr>
        <w:trPr/>
        <w:tc>
          <w:tcPr>
            <w:tcW w:w="9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6">
              <w:r>
                <w:rPr>
                  <w:rStyle w:val="InternetLink"/>
                  <w:rFonts w:ascii="Times New Roman;sans-serif" w:hAnsi="Times New Roman;sans-serif"/>
                  <w:b w:val="false"/>
                  <w:color w:val="0000FF"/>
                  <w:sz w:val="20"/>
                  <w:u w:val="single"/>
                </w:rPr>
                <w:t>Item 1.</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6">
              <w:r>
                <w:rPr>
                  <w:rStyle w:val="InternetLink"/>
                  <w:rFonts w:ascii="Times New Roman;sans-serif" w:hAnsi="Times New Roman;sans-serif"/>
                  <w:b w:val="false"/>
                  <w:color w:val="0000FF"/>
                  <w:sz w:val="20"/>
                  <w:u w:val="single"/>
                </w:rPr>
                <w:t>Condensed Consolidated Financial Statements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6">
              <w:r>
                <w:rPr>
                  <w:rStyle w:val="InternetLink"/>
                  <w:rFonts w:ascii="Times New Roman;sans-serif" w:hAnsi="Times New Roman;sans-serif"/>
                  <w:b w:val="false"/>
                  <w:color w:val="0000FF"/>
                  <w:sz w:val="20"/>
                  <w:u w:val="single"/>
                </w:rPr>
                <w:t>1</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9">
              <w:r>
                <w:rPr>
                  <w:rStyle w:val="InternetLink"/>
                  <w:rFonts w:ascii="Times New Roman;sans-serif" w:hAnsi="Times New Roman;sans-serif"/>
                  <w:b w:val="false"/>
                  <w:color w:val="0000FF"/>
                  <w:sz w:val="20"/>
                  <w:u w:val="single"/>
                </w:rPr>
                <w:t>Condensed Consolidated Balance Sheets (Unaudited)</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9">
              <w:r>
                <w:rPr>
                  <w:rStyle w:val="InternetLink"/>
                  <w:rFonts w:ascii="Times New Roman;sans-serif" w:hAnsi="Times New Roman;sans-serif"/>
                  <w:b w:val="false"/>
                  <w:color w:val="0000FF"/>
                  <w:sz w:val="20"/>
                  <w:u w:val="single"/>
                </w:rPr>
                <w:t>1</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22">
              <w:r>
                <w:rPr>
                  <w:rStyle w:val="InternetLink"/>
                  <w:rFonts w:ascii="Times New Roman;sans-serif" w:hAnsi="Times New Roman;sans-serif"/>
                  <w:b w:val="false"/>
                  <w:color w:val="0000FF"/>
                  <w:sz w:val="20"/>
                  <w:u w:val="single"/>
                </w:rPr>
                <w:t>Condensed Consolidated Statements of Operations and Comprehensive (Loss) Income (Unaudited)</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22">
              <w:r>
                <w:rPr>
                  <w:rStyle w:val="InternetLink"/>
                  <w:rFonts w:ascii="Times New Roman;sans-serif" w:hAnsi="Times New Roman;sans-serif"/>
                  <w:b w:val="false"/>
                  <w:color w:val="0000FF"/>
                  <w:sz w:val="20"/>
                  <w:u w:val="single"/>
                </w:rPr>
                <w:t>2</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28">
              <w:r>
                <w:rPr>
                  <w:rStyle w:val="InternetLink"/>
                  <w:rFonts w:ascii="Times New Roman;sans-serif" w:hAnsi="Times New Roman;sans-serif"/>
                  <w:b w:val="false"/>
                  <w:color w:val="0000FF"/>
                  <w:sz w:val="20"/>
                  <w:u w:val="single"/>
                </w:rPr>
                <w:t>Condensed Consolidated Statements of Stockholders’ Equity (Unaudited)</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28">
              <w:r>
                <w:rPr>
                  <w:rStyle w:val="InternetLink"/>
                  <w:rFonts w:ascii="Times New Roman;sans-serif" w:hAnsi="Times New Roman;sans-serif"/>
                  <w:b w:val="false"/>
                  <w:color w:val="0000FF"/>
                  <w:sz w:val="20"/>
                  <w:u w:val="single"/>
                </w:rPr>
                <w:t>3</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31">
              <w:r>
                <w:rPr>
                  <w:rStyle w:val="InternetLink"/>
                  <w:rFonts w:ascii="Times New Roman;sans-serif" w:hAnsi="Times New Roman;sans-serif"/>
                  <w:b w:val="false"/>
                  <w:color w:val="0000FF"/>
                  <w:sz w:val="20"/>
                  <w:u w:val="single"/>
                </w:rPr>
                <w:t>Condensed Consolidated Statements of Cash Flows (Unaudited)</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31">
              <w:r>
                <w:rPr>
                  <w:rStyle w:val="InternetLink"/>
                  <w:rFonts w:ascii="Times New Roman;sans-serif" w:hAnsi="Times New Roman;sans-serif"/>
                  <w:b w:val="false"/>
                  <w:color w:val="0000FF"/>
                  <w:sz w:val="20"/>
                  <w:u w:val="single"/>
                </w:rPr>
                <w:t>4</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34">
              <w:r>
                <w:rPr>
                  <w:rStyle w:val="InternetLink"/>
                  <w:rFonts w:ascii="Times New Roman;sans-serif" w:hAnsi="Times New Roman;sans-serif"/>
                  <w:b w:val="false"/>
                  <w:color w:val="0000FF"/>
                  <w:sz w:val="20"/>
                  <w:u w:val="single"/>
                </w:rPr>
                <w:t>Notes to Condensed Consolidated Financial Statements (Unaudited)</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34">
              <w:r>
                <w:rPr>
                  <w:rStyle w:val="InternetLink"/>
                  <w:rFonts w:ascii="Times New Roman;sans-serif" w:hAnsi="Times New Roman;sans-serif"/>
                  <w:b w:val="false"/>
                  <w:color w:val="0000FF"/>
                  <w:sz w:val="20"/>
                  <w:u w:val="single"/>
                </w:rPr>
                <w:t>5</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88">
              <w:r>
                <w:rPr>
                  <w:rStyle w:val="InternetLink"/>
                  <w:rFonts w:ascii="Times New Roman;sans-serif" w:hAnsi="Times New Roman;sans-serif"/>
                  <w:b w:val="false"/>
                  <w:color w:val="0000FF"/>
                  <w:sz w:val="20"/>
                  <w:u w:val="single"/>
                </w:rPr>
                <w:t>Item 2.</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88">
              <w:r>
                <w:rPr>
                  <w:rStyle w:val="InternetLink"/>
                  <w:rFonts w:ascii="Times New Roman;sans-serif" w:hAnsi="Times New Roman;sans-serif"/>
                  <w:b w:val="false"/>
                  <w:color w:val="0000FF"/>
                  <w:sz w:val="20"/>
                  <w:u w:val="single"/>
                </w:rPr>
                <w:t>22</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0">
              <w:r>
                <w:rPr>
                  <w:rStyle w:val="InternetLink"/>
                  <w:rFonts w:ascii="Times New Roman;sans-serif" w:hAnsi="Times New Roman;sans-serif"/>
                  <w:b w:val="false"/>
                  <w:color w:val="0000FF"/>
                  <w:sz w:val="20"/>
                  <w:u w:val="single"/>
                </w:rPr>
                <w:t>Item 3.</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0">
              <w:r>
                <w:rPr>
                  <w:rStyle w:val="InternetLink"/>
                  <w:rFonts w:ascii="Times New Roman;sans-serif" w:hAnsi="Times New Roman;sans-serif"/>
                  <w:b w:val="false"/>
                  <w:color w:val="0000FF"/>
                  <w:sz w:val="20"/>
                  <w:u w:val="single"/>
                </w:rPr>
                <w:t>Quantitative and Qualitative Disclosures About Market Risk</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30">
              <w:r>
                <w:rPr>
                  <w:rStyle w:val="InternetLink"/>
                  <w:rFonts w:ascii="Times New Roman;sans-serif" w:hAnsi="Times New Roman;sans-serif"/>
                  <w:b w:val="false"/>
                  <w:color w:val="0000FF"/>
                  <w:sz w:val="20"/>
                  <w:u w:val="single"/>
                </w:rPr>
                <w:t>31</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3">
              <w:r>
                <w:rPr>
                  <w:rStyle w:val="InternetLink"/>
                  <w:rFonts w:ascii="Times New Roman;sans-serif" w:hAnsi="Times New Roman;sans-serif"/>
                  <w:b w:val="false"/>
                  <w:color w:val="0000FF"/>
                  <w:sz w:val="20"/>
                  <w:u w:val="single"/>
                </w:rPr>
                <w:t>Item 4.</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3">
              <w:r>
                <w:rPr>
                  <w:rStyle w:val="InternetLink"/>
                  <w:rFonts w:ascii="Times New Roman;sans-serif" w:hAnsi="Times New Roman;sans-serif"/>
                  <w:b w:val="false"/>
                  <w:color w:val="0000FF"/>
                  <w:sz w:val="20"/>
                  <w:u w:val="single"/>
                </w:rPr>
                <w:t>Controls and Procedures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33">
              <w:r>
                <w:rPr>
                  <w:rStyle w:val="InternetLink"/>
                  <w:rFonts w:ascii="Times New Roman;sans-serif" w:hAnsi="Times New Roman;sans-serif"/>
                  <w:b w:val="false"/>
                  <w:color w:val="0000FF"/>
                  <w:sz w:val="20"/>
                  <w:u w:val="single"/>
                </w:rPr>
                <w:t>31</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6">
              <w:r>
                <w:rPr>
                  <w:rStyle w:val="InternetLink"/>
                  <w:rFonts w:ascii="Times New Roman;sans-serif" w:hAnsi="Times New Roman;sans-serif"/>
                  <w:b w:val="false"/>
                  <w:color w:val="0000FF"/>
                  <w:sz w:val="20"/>
                  <w:u w:val="single"/>
                </w:rPr>
                <w:t>PART II. – OTHER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36">
              <w:r>
                <w:rPr>
                  <w:rStyle w:val="InternetLink"/>
                  <w:rFonts w:ascii="Times New Roman;sans-serif" w:hAnsi="Times New Roman;sans-serif"/>
                  <w:b w:val="false"/>
                  <w:color w:val="0000FF"/>
                  <w:sz w:val="20"/>
                  <w:u w:val="single"/>
                </w:rPr>
                <w:t>32</w:t>
              </w:r>
            </w:hyperlink>
          </w:p>
        </w:tc>
      </w:tr>
      <w:tr>
        <w:trPr/>
        <w:tc>
          <w:tcPr>
            <w:tcW w:w="9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9">
              <w:r>
                <w:rPr>
                  <w:rStyle w:val="InternetLink"/>
                  <w:rFonts w:ascii="Times New Roman;sans-serif" w:hAnsi="Times New Roman;sans-serif"/>
                  <w:b w:val="false"/>
                  <w:color w:val="0000FF"/>
                  <w:sz w:val="20"/>
                  <w:u w:val="single"/>
                </w:rPr>
                <w:t>Item 1.</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39">
              <w:r>
                <w:rPr>
                  <w:rStyle w:val="InternetLink"/>
                  <w:rFonts w:ascii="Times New Roman;sans-serif" w:hAnsi="Times New Roman;sans-serif"/>
                  <w:b w:val="false"/>
                  <w:color w:val="0000FF"/>
                  <w:sz w:val="20"/>
                  <w:u w:val="single"/>
                </w:rPr>
                <w:t>Legal Proceedings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39">
              <w:r>
                <w:rPr>
                  <w:rStyle w:val="InternetLink"/>
                  <w:rFonts w:ascii="Times New Roman;sans-serif" w:hAnsi="Times New Roman;sans-serif"/>
                  <w:b w:val="false"/>
                  <w:color w:val="0000FF"/>
                  <w:sz w:val="20"/>
                  <w:u w:val="single"/>
                </w:rPr>
                <w:t>32</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42">
              <w:r>
                <w:rPr>
                  <w:rStyle w:val="InternetLink"/>
                  <w:rFonts w:ascii="Times New Roman;sans-serif" w:hAnsi="Times New Roman;sans-serif"/>
                  <w:b w:val="false"/>
                  <w:color w:val="0000FF"/>
                  <w:sz w:val="20"/>
                  <w:u w:val="single"/>
                </w:rPr>
                <w:t>Item 1A.</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42">
              <w:r>
                <w:rPr>
                  <w:rStyle w:val="InternetLink"/>
                  <w:rFonts w:ascii="Times New Roman;sans-serif" w:hAnsi="Times New Roman;sans-serif"/>
                  <w:b w:val="false"/>
                  <w:color w:val="0000FF"/>
                  <w:sz w:val="20"/>
                  <w:u w:val="single"/>
                </w:rPr>
                <w:t>Risk Factors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42">
              <w:r>
                <w:rPr>
                  <w:rStyle w:val="InternetLink"/>
                  <w:rFonts w:ascii="Times New Roman;sans-serif" w:hAnsi="Times New Roman;sans-serif"/>
                  <w:b w:val="false"/>
                  <w:color w:val="0000FF"/>
                  <w:sz w:val="20"/>
                  <w:u w:val="single"/>
                </w:rPr>
                <w:t>32</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48">
              <w:r>
                <w:rPr>
                  <w:rStyle w:val="InternetLink"/>
                  <w:rFonts w:ascii="Times New Roman;sans-serif" w:hAnsi="Times New Roman;sans-serif"/>
                  <w:b w:val="false"/>
                  <w:color w:val="0000FF"/>
                  <w:sz w:val="20"/>
                  <w:u w:val="single"/>
                </w:rPr>
                <w:t>Item 5.</w:t>
              </w:r>
            </w:hyperlink>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48">
              <w:r>
                <w:rPr>
                  <w:rStyle w:val="InternetLink"/>
                  <w:rFonts w:ascii="Times New Roman;sans-serif" w:hAnsi="Times New Roman;sans-serif"/>
                  <w:b w:val="false"/>
                  <w:color w:val="0000FF"/>
                  <w:sz w:val="20"/>
                  <w:u w:val="single"/>
                </w:rPr>
                <w:t>Other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48">
              <w:r>
                <w:rPr>
                  <w:rStyle w:val="InternetLink"/>
                  <w:rFonts w:ascii="Times New Roman;sans-serif" w:hAnsi="Times New Roman;sans-serif"/>
                  <w:b w:val="false"/>
                  <w:color w:val="0000FF"/>
                  <w:sz w:val="20"/>
                  <w:u w:val="single"/>
                </w:rPr>
                <w:t>32</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51">
              <w:r>
                <w:rPr>
                  <w:rStyle w:val="InternetLink"/>
                  <w:rFonts w:ascii="Times New Roman;sans-serif" w:hAnsi="Times New Roman;sans-serif"/>
                  <w:b w:val="false"/>
                  <w:color w:val="0000FF"/>
                  <w:sz w:val="20"/>
                  <w:u w:val="single"/>
                </w:rPr>
                <w:t>Exhibits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51">
              <w:r>
                <w:rPr>
                  <w:rStyle w:val="InternetLink"/>
                  <w:rFonts w:ascii="Times New Roman;sans-serif" w:hAnsi="Times New Roman;sans-serif"/>
                  <w:b w:val="false"/>
                  <w:color w:val="0000FF"/>
                  <w:sz w:val="20"/>
                  <w:u w:val="single"/>
                </w:rPr>
                <w:t>33</w:t>
              </w:r>
            </w:hyperlink>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94c362a2b8472c8b046d777cad339c_154">
              <w:r>
                <w:rPr>
                  <w:rStyle w:val="InternetLink"/>
                  <w:rFonts w:ascii="Times New Roman;sans-serif" w:hAnsi="Times New Roman;sans-serif"/>
                  <w:b w:val="false"/>
                  <w:color w:val="0000FF"/>
                  <w:sz w:val="20"/>
                  <w:u w:val="single"/>
                </w:rPr>
                <w:t>Signatures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94c362a2b8472c8b046d777cad339c_154">
              <w:r>
                <w:rPr>
                  <w:rStyle w:val="InternetLink"/>
                  <w:rFonts w:ascii="Times New Roman;sans-serif" w:hAnsi="Times New Roman;sans-serif"/>
                  <w:b w:val="false"/>
                  <w:color w:val="0000FF"/>
                  <w:sz w:val="20"/>
                  <w:u w:val="singl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p>
      <w:pPr>
        <w:pStyle w:val="TextBody"/>
        <w:bidi w:val="0"/>
        <w:spacing w:before="0" w:after="0"/>
        <w:jc w:val="center"/>
        <w:rPr/>
      </w:pPr>
      <w:r>
        <w:rPr/>
      </w:r>
    </w:p>
    <w:tbl>
      <w:tblPr>
        <w:tblW w:w="9602" w:type="dxa"/>
        <w:jc w:val="center"/>
        <w:tblInd w:w="0" w:type="dxa"/>
        <w:tblLayout w:type="fixed"/>
        <w:tblCellMar>
          <w:top w:w="28" w:type="dxa"/>
          <w:left w:w="28" w:type="dxa"/>
          <w:bottom w:w="28" w:type="dxa"/>
          <w:right w:w="28" w:type="dxa"/>
        </w:tblCellMar>
      </w:tblPr>
      <w:tblGrid>
        <w:gridCol w:w="2551"/>
        <w:gridCol w:w="2240"/>
        <w:gridCol w:w="2258"/>
        <w:gridCol w:w="196"/>
        <w:gridCol w:w="736"/>
        <w:gridCol w:w="109"/>
        <w:gridCol w:w="109"/>
        <w:gridCol w:w="109"/>
        <w:gridCol w:w="109"/>
        <w:gridCol w:w="214"/>
        <w:gridCol w:w="803"/>
        <w:gridCol w:w="168"/>
      </w:tblGrid>
      <w:tr>
        <w:trPr/>
        <w:tc>
          <w:tcPr>
            <w:tcW w:w="2551"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$9,792 in 2025 and $9,301 in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$21,837 in 2025 and $19,285 in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170,292 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 except per share data)</w:t>
      </w:r>
    </w:p>
    <w:p>
      <w:pPr>
        <w:pStyle w:val="TextBody"/>
        <w:bidi w:val="0"/>
        <w:spacing w:before="0" w:after="0"/>
        <w:jc w:val="center"/>
        <w:rPr/>
      </w:pPr>
      <w:r>
        <w:rPr/>
      </w:r>
    </w:p>
    <w:tbl>
      <w:tblPr>
        <w:tblW w:w="9189" w:type="dxa"/>
        <w:jc w:val="center"/>
        <w:tblInd w:w="0" w:type="dxa"/>
        <w:tblLayout w:type="fixed"/>
        <w:tblCellMar>
          <w:top w:w="28" w:type="dxa"/>
          <w:left w:w="28" w:type="dxa"/>
          <w:bottom w:w="28" w:type="dxa"/>
          <w:right w:w="28" w:type="dxa"/>
        </w:tblCellMar>
      </w:tblPr>
      <w:tblGrid>
        <w:gridCol w:w="2200"/>
        <w:gridCol w:w="1941"/>
        <w:gridCol w:w="1948"/>
        <w:gridCol w:w="211"/>
        <w:gridCol w:w="826"/>
        <w:gridCol w:w="109"/>
        <w:gridCol w:w="109"/>
        <w:gridCol w:w="109"/>
        <w:gridCol w:w="109"/>
        <w:gridCol w:w="211"/>
        <w:gridCol w:w="826"/>
        <w:gridCol w:w="109"/>
        <w:gridCol w:w="109"/>
        <w:gridCol w:w="109"/>
        <w:gridCol w:w="109"/>
        <w:gridCol w:w="154"/>
      </w:tblGrid>
      <w:tr>
        <w:trPr/>
        <w:tc>
          <w:tcPr>
            <w:tcW w:w="220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services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gain (loss),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68" w:before="0" w:after="0"/>
        <w:jc w:val="center"/>
        <w:rPr/>
      </w:pPr>
      <w:r>
        <w:rPr>
          <w:rFonts w:ascii="Times New Roman;sans-serif" w:hAnsi="Times New Roman;sans-serif"/>
          <w:b/>
          <w:color w:val="000000"/>
          <w:sz w:val="20"/>
        </w:rPr>
        <w:t>CONDENSED CONSOLIDATED STATEMENTS OF 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65"/>
        <w:gridCol w:w="494"/>
        <w:gridCol w:w="496"/>
        <w:gridCol w:w="323"/>
        <w:gridCol w:w="323"/>
        <w:gridCol w:w="196"/>
        <w:gridCol w:w="109"/>
        <w:gridCol w:w="109"/>
        <w:gridCol w:w="109"/>
        <w:gridCol w:w="226"/>
        <w:gridCol w:w="278"/>
        <w:gridCol w:w="127"/>
        <w:gridCol w:w="109"/>
        <w:gridCol w:w="109"/>
        <w:gridCol w:w="109"/>
        <w:gridCol w:w="204"/>
        <w:gridCol w:w="769"/>
        <w:gridCol w:w="113"/>
        <w:gridCol w:w="109"/>
        <w:gridCol w:w="109"/>
        <w:gridCol w:w="109"/>
        <w:gridCol w:w="309"/>
        <w:gridCol w:w="901"/>
        <w:gridCol w:w="172"/>
        <w:gridCol w:w="109"/>
        <w:gridCol w:w="109"/>
        <w:gridCol w:w="109"/>
        <w:gridCol w:w="343"/>
        <w:gridCol w:w="1092"/>
        <w:gridCol w:w="161"/>
        <w:gridCol w:w="109"/>
        <w:gridCol w:w="109"/>
        <w:gridCol w:w="109"/>
        <w:gridCol w:w="228"/>
        <w:gridCol w:w="860"/>
        <w:gridCol w:w="190"/>
      </w:tblGrid>
      <w:tr>
        <w:trPr/>
        <w:tc>
          <w:tcPr>
            <w:tcW w:w="7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755"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202,338 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218,059 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418,959 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32,477 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202,074 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418,210 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755"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236,417 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232,615 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467,651 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March 31, 2024</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34,326 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228,525 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(1,388)</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235,307 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462,448 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p>
      <w:pPr>
        <w:pStyle w:val="TextBody"/>
        <w:bidi w:val="0"/>
        <w:spacing w:before="0" w:after="0"/>
        <w:jc w:val="center"/>
        <w:rPr/>
      </w:pPr>
      <w:r>
        <w:rPr/>
      </w:r>
    </w:p>
    <w:tbl>
      <w:tblPr>
        <w:tblW w:w="9549" w:type="dxa"/>
        <w:jc w:val="center"/>
        <w:tblInd w:w="0" w:type="dxa"/>
        <w:tblLayout w:type="fixed"/>
        <w:tblCellMar>
          <w:top w:w="28" w:type="dxa"/>
          <w:left w:w="28" w:type="dxa"/>
          <w:bottom w:w="28" w:type="dxa"/>
          <w:right w:w="28" w:type="dxa"/>
        </w:tblCellMar>
      </w:tblPr>
      <w:tblGrid>
        <w:gridCol w:w="2602"/>
        <w:gridCol w:w="2291"/>
        <w:gridCol w:w="2307"/>
        <w:gridCol w:w="211"/>
        <w:gridCol w:w="721"/>
        <w:gridCol w:w="109"/>
        <w:gridCol w:w="109"/>
        <w:gridCol w:w="109"/>
        <w:gridCol w:w="109"/>
        <w:gridCol w:w="211"/>
        <w:gridCol w:w="616"/>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Senior Secured Asset-Based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Senior Secured Asset-Based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shares withheld for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 and retirement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Nature of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interim condensed consolidated financial statements should be read in conjunction with the audited consolidated financial statements and notes thereto for the year ended December 31, 2024 included in the 2024 Form 10-K. The December 31, 2024 condensed consolidated balance sheet included herein was derived from the December 31, 2024 audited consolidated balance sheet included in the 2024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prior year amounts have been reclassified to conform to the current year presentation. See the condensed consolidated statements of operations and comprehensive (loss)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Aya Healthcare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On December 3, 2024, the Company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On February 20, 2025, the Company and Aya Healthcare each received a request for additional information (Second Request) from the U.S. Federal Trade Commission (FTC) in connection with the FTC’s review of the transactions contemplated by the Merger Agreement. Issuance of the Second Request extends the waiting period under the Hart-Scott- Rodino Antitrust Improvements Act of 1976 until 30 days after both the Company and Aya Healthcare substantially comply with the Second Request, unless the waiting period is extended voluntarily by the parties or terminated earlier by the FTC. The Company expects that the Aya Merger will close in the second half of 2025, subject to the satisfaction or waiver of the other customary closing conditions specified in the Merger Agreement. The Aya Merger was approved by the Company</w:t>
      </w:r>
      <w:r>
        <w:rPr>
          <w:color w:val="000000"/>
        </w:rPr>
        <w:t>’</w:t>
      </w:r>
      <w:r>
        <w:rPr>
          <w:rFonts w:ascii="Times New Roman;sans-serif" w:hAnsi="Times New Roman;sans-serif"/>
          <w:b w:val="false"/>
          <w:color w:val="000000"/>
          <w:sz w:val="20"/>
          <w:shd w:fill="FFFFFF" w:val="clear"/>
        </w:rPr>
        <w:t>s stockholders at a special meeting held on February 28, 2025. Upon completion of the transaction, it is expected that the Company will become a private company and its common stock will no longer trade on Nasdaq. During the first quarter of 2025, the Company incurred $2.0 million in fees associated with the pending Aya Merger, which is included in acquisition and integration-related costs in the condensed consolidated statement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w:t>
      </w:r>
      <w:r>
        <w:rPr>
          <w:color w:val="000000"/>
          <w:shd w:fill="FFFFFF" w:val="clear"/>
        </w:rPr>
        <w:t xml:space="preserve"> </w:t>
      </w:r>
      <w:r>
        <w:rPr>
          <w:rFonts w:ascii="Times New Roman;sans-serif" w:hAnsi="Times New Roman;sans-serif"/>
          <w:b w:val="false"/>
          <w:color w:val="000000"/>
          <w:sz w:val="20"/>
        </w:rPr>
        <w:t xml:space="preserve">could materially and adversely impact the Company’s consolidated financial statements in future reporting periods.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the 2024 Form 10-K.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Accounts Receivable, net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March 31, 2025 and December 31, 2024 totaled $61.9 million and $60.4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when estimating its 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opening balance of the allowance for credit losses is reconciled to the closing balance for expected credit losses as follows:</w:t>
      </w:r>
    </w:p>
    <w:tbl>
      <w:tblPr>
        <w:tblW w:w="4839" w:type="dxa"/>
        <w:jc w:val="left"/>
        <w:tblInd w:w="0" w:type="dxa"/>
        <w:tblLayout w:type="fixed"/>
        <w:tblCellMar>
          <w:top w:w="28" w:type="dxa"/>
          <w:left w:w="28" w:type="dxa"/>
          <w:bottom w:w="28" w:type="dxa"/>
          <w:right w:w="28" w:type="dxa"/>
        </w:tblCellMar>
      </w:tblPr>
      <w:tblGrid>
        <w:gridCol w:w="901"/>
        <w:gridCol w:w="792"/>
        <w:gridCol w:w="797"/>
        <w:gridCol w:w="211"/>
        <w:gridCol w:w="616"/>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34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allowance for credit losses, the Company maintains a sales allowance for billing-related adjustments that may arise in the ordinary course of business and adjustments to the reserve are recorded as contra-revenue. The sales allowance balance as of March 31, 2025 and December 31, 2024 was $0.4 million and $0.5 million, respectively.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w:t>
      </w:r>
      <w:r>
        <w:rPr>
          <w:rFonts w:ascii="Times New Roman;sans-serif" w:hAnsi="Times New Roman;sans-serif"/>
          <w:b w:val="false"/>
          <w:color w:val="000000"/>
          <w:sz w:val="20"/>
          <w:shd w:fill="FFFFFF" w:val="clear"/>
        </w:rPr>
        <w:t>No single customer accounted for more than 10% of the Company’s revenue for the three months ended March 31, 2025 and 2024, or the Company’s accounts receivable balance as of March 31, 2025 and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restructuring activities to be programs whereby it fundamentally changes its operations, such as closing and consolidating facilities, reducing headcount, and realigning operations in response to changing market conditions, and are primarily included in the accounts payable and accrued expenses on the condensed consolidated balance sheets. Restructuring costs on the condensed consolidated statements of operations and comprehensive (loss) income primarily include employee termination costs and lease-related exit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the employee termination costs and lease-related exit costs beginning and ending liability balance is presented below:</w:t>
      </w:r>
    </w:p>
    <w:tbl>
      <w:tblPr>
        <w:tblW w:w="7466" w:type="dxa"/>
        <w:jc w:val="left"/>
        <w:tblInd w:w="0" w:type="dxa"/>
        <w:tblLayout w:type="fixed"/>
        <w:tblCellMar>
          <w:top w:w="28" w:type="dxa"/>
          <w:left w:w="28" w:type="dxa"/>
          <w:bottom w:w="28" w:type="dxa"/>
          <w:right w:w="28" w:type="dxa"/>
        </w:tblCellMar>
      </w:tblPr>
      <w:tblGrid>
        <w:gridCol w:w="837"/>
        <w:gridCol w:w="733"/>
        <w:gridCol w:w="739"/>
        <w:gridCol w:w="692"/>
        <w:gridCol w:w="1529"/>
        <w:gridCol w:w="359"/>
        <w:gridCol w:w="109"/>
        <w:gridCol w:w="109"/>
        <w:gridCol w:w="109"/>
        <w:gridCol w:w="571"/>
        <w:gridCol w:w="1261"/>
        <w:gridCol w:w="41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2577"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2025</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restructuring</w:t>
            </w:r>
          </w:p>
        </w:tc>
        <w:tc>
          <w:tcPr>
            <w:tcW w:w="2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2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On November 27, 2023, the Financial Accounting Standards Board (FASB) issued Accounting Standards Update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The Company adopted this standard for its fiscal year ended December 31, 2024, and its interim periods beginning in the first quarter of 2025, and applied the guidance retrospectively to all prior periods presented in the financial statements. This standard only expanded the Company’s disclosures with no impact to results of operations, cash flows, and financial condition. See Note 12 - Segment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November 4, 2024, the FASB issued ASU No.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which is intended to improve decision usefulness of business entities’ income 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expects to adopt this standard for its annual report for the fiscal year ending December 31, 2027. The Company expects this ASU to only impact its disclosures with no impacts to results of operations, cash flows,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14,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The Company plans to adopt this standard for its annual report for the fiscal year ended December 31, 2025. The Company expects this ASU to only impact its disclosures with no impacts to results of operations, cash flows, and financial condition.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from customer contracts are generated from temporary staffing services and other services. Revenue is disaggregated by segment in the following table. Sales and usage-based taxes are excluded from revenue.</w:t>
      </w:r>
    </w:p>
    <w:tbl>
      <w:tblPr>
        <w:tblW w:w="7406" w:type="dxa"/>
        <w:jc w:val="left"/>
        <w:tblInd w:w="0" w:type="dxa"/>
        <w:tblLayout w:type="fixed"/>
        <w:tblCellMar>
          <w:top w:w="28" w:type="dxa"/>
          <w:left w:w="28" w:type="dxa"/>
          <w:bottom w:w="28" w:type="dxa"/>
          <w:right w:w="28" w:type="dxa"/>
        </w:tblCellMar>
      </w:tblPr>
      <w:tblGrid>
        <w:gridCol w:w="874"/>
        <w:gridCol w:w="768"/>
        <w:gridCol w:w="773"/>
        <w:gridCol w:w="247"/>
        <w:gridCol w:w="971"/>
        <w:gridCol w:w="128"/>
        <w:gridCol w:w="128"/>
        <w:gridCol w:w="128"/>
        <w:gridCol w:w="128"/>
        <w:gridCol w:w="247"/>
        <w:gridCol w:w="848"/>
        <w:gridCol w:w="128"/>
        <w:gridCol w:w="128"/>
        <w:gridCol w:w="128"/>
        <w:gridCol w:w="109"/>
        <w:gridCol w:w="109"/>
        <w:gridCol w:w="109"/>
        <w:gridCol w:w="257"/>
        <w:gridCol w:w="1010"/>
        <w:gridCol w:w="188"/>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12 - Segment Data.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HireUp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2022, the Company purchased and acquired substantially all of the assets and assumed certain liabilities of HireUp Leadership Inc. (HireUp) for a purchase price of $6.0 million in cash, subject to adjustment, and $0.8 million in shares (or 29,811 shares) of the Company’s common stock. The transaction was treated as a purchase of assets for income tax purposes.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 See Note 10 -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Mint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fourth quarter of 2024, the Company performed a calculation for the second measurement period, resulting in the achievement of a $4.4 million earnout, which was paid in the first quarter of 2025. See Note 10 -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Acquisition-related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fees associated with the pending Aya Merger as discussed on Note 1 - Organization and Basis of Presentation, the Company did not record any acquisition-related costs associated with the Company’s acquisitions for the three months ended March 31, 2025, and recorded an immaterial credit for the three months ended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COMPREHENSIVE (LOSS)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income includes net income or loss and foreign currency translation adjustments, net of any related deferred taxes, and is included within the accompanying condensed consolidated statements of operations and comprehensive (loss)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as of March 31, 2025 and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impact related to components of other comprehensive income (loss) for the three months ended March 31, 2025 and 2024 is included in unrealized foreign currency translation gain (loss), net of tax in the condensed consolidated statements of operations and comprehensive (loss)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EARNINGS PER SHARE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numerator and denominator for the computation of the basic and diluted earnings per share:</w:t>
      </w:r>
    </w:p>
    <w:p>
      <w:pPr>
        <w:pStyle w:val="TextBody"/>
        <w:bidi w:val="0"/>
        <w:spacing w:before="0" w:after="0"/>
        <w:jc w:val="left"/>
        <w:rPr/>
      </w:pPr>
      <w:r>
        <w:rPr/>
      </w:r>
    </w:p>
    <w:tbl>
      <w:tblPr>
        <w:tblW w:w="9912" w:type="dxa"/>
        <w:jc w:val="left"/>
        <w:tblInd w:w="0" w:type="dxa"/>
        <w:tblLayout w:type="fixed"/>
        <w:tblCellMar>
          <w:top w:w="28" w:type="dxa"/>
          <w:left w:w="28" w:type="dxa"/>
          <w:bottom w:w="28" w:type="dxa"/>
          <w:right w:w="28" w:type="dxa"/>
        </w:tblCellMar>
      </w:tblPr>
      <w:tblGrid>
        <w:gridCol w:w="2229"/>
        <w:gridCol w:w="1962"/>
        <w:gridCol w:w="1973"/>
        <w:gridCol w:w="318"/>
        <w:gridCol w:w="883"/>
        <w:gridCol w:w="164"/>
        <w:gridCol w:w="164"/>
        <w:gridCol w:w="164"/>
        <w:gridCol w:w="164"/>
        <w:gridCol w:w="318"/>
        <w:gridCol w:w="928"/>
        <w:gridCol w:w="164"/>
        <w:gridCol w:w="109"/>
        <w:gridCol w:w="109"/>
        <w:gridCol w:w="109"/>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4" w:type="dxa"/>
            <w:gridSpan w:val="3"/>
            <w:vMerge w:val="continue"/>
            <w:tcBorders/>
            <w:tcMar>
              <w:top w:w="0" w:type="dxa"/>
              <w:left w:w="0" w:type="dxa"/>
              <w:bottom w:w="0" w:type="dxa"/>
              <w:right w:w="0" w:type="dxa"/>
            </w:tcMar>
            <w:vAlign w:val="center"/>
          </w:tcPr>
          <w:p>
            <w:pPr>
              <w:pStyle w:val="Normal"/>
              <w:bidi w:val="0"/>
              <w:jc w:val="left"/>
              <w:rPr/>
            </w:pPr>
            <w:r>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4" w:type="dxa"/>
            <w:gridSpan w:val="3"/>
            <w:vMerge w:val="continue"/>
            <w:tcBorders/>
            <w:tcMar>
              <w:top w:w="0" w:type="dxa"/>
              <w:left w:w="0" w:type="dxa"/>
              <w:bottom w:w="0" w:type="dxa"/>
              <w:right w:w="0" w:type="dxa"/>
            </w:tcMar>
            <w:vAlign w:val="center"/>
          </w:tcPr>
          <w:p>
            <w:pPr>
              <w:pStyle w:val="Normal"/>
              <w:bidi w:val="0"/>
              <w:jc w:val="left"/>
              <w:rPr/>
            </w:pPr>
            <w:r>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(amounts 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 Basic and Diluted</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diluted shares:</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Share-based awards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common shares - Diluted</w:t>
            </w:r>
            <w:r>
              <w:rPr>
                <w:rFonts w:ascii="Times New Roman;sans-serif" w:hAnsi="Times New Roman;sans-serif"/>
                <w:b w:val="false"/>
                <w:color w:val="000000"/>
                <w:sz w:val="13"/>
              </w:rPr>
              <w:t>a</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Basic</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stockholders - Diluted</w:t>
            </w:r>
          </w:p>
        </w:tc>
        <w:tc>
          <w:tcPr>
            <w:tcW w:w="31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6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6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the three months ended March 31, 2025, the effect of diluted shares was not included in the weighted average share calculation due to the Company’s net operating loss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share-based awards that could potentially dilute net (loss) income per share attributable to common stockholders in the future that were not included in the computation of diluted net (loss) income per share attributable to common stockholders because to do so would have been anti-dilutive for the periods presented.</w:t>
      </w:r>
    </w:p>
    <w:p>
      <w:pPr>
        <w:pStyle w:val="TextBody"/>
        <w:bidi w:val="0"/>
        <w:spacing w:before="0" w:after="0"/>
        <w:jc w:val="left"/>
        <w:rPr/>
      </w:pPr>
      <w:r>
        <w:rPr/>
      </w:r>
    </w:p>
    <w:tbl>
      <w:tblPr>
        <w:tblW w:w="4165" w:type="dxa"/>
        <w:jc w:val="left"/>
        <w:tblInd w:w="0" w:type="dxa"/>
        <w:tblLayout w:type="fixed"/>
        <w:tblCellMar>
          <w:top w:w="28" w:type="dxa"/>
          <w:left w:w="28" w:type="dxa"/>
          <w:bottom w:w="28" w:type="dxa"/>
          <w:right w:w="28" w:type="dxa"/>
        </w:tblCellMar>
      </w:tblPr>
      <w:tblGrid>
        <w:gridCol w:w="614"/>
        <w:gridCol w:w="540"/>
        <w:gridCol w:w="541"/>
        <w:gridCol w:w="221"/>
        <w:gridCol w:w="221"/>
        <w:gridCol w:w="221"/>
        <w:gridCol w:w="221"/>
        <w:gridCol w:w="221"/>
        <w:gridCol w:w="221"/>
        <w:gridCol w:w="221"/>
        <w:gridCol w:w="221"/>
        <w:gridCol w:w="221"/>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acquired intangible assets:</w:t>
      </w:r>
    </w:p>
    <w:tbl>
      <w:tblPr>
        <w:tblW w:w="10205" w:type="dxa"/>
        <w:jc w:val="left"/>
        <w:tblInd w:w="0" w:type="dxa"/>
        <w:tblLayout w:type="fixed"/>
        <w:tblCellMar>
          <w:top w:w="28" w:type="dxa"/>
          <w:left w:w="28" w:type="dxa"/>
          <w:bottom w:w="28" w:type="dxa"/>
          <w:right w:w="28" w:type="dxa"/>
        </w:tblCellMar>
      </w:tblPr>
      <w:tblGrid>
        <w:gridCol w:w="675"/>
        <w:gridCol w:w="594"/>
        <w:gridCol w:w="599"/>
        <w:gridCol w:w="211"/>
        <w:gridCol w:w="721"/>
        <w:gridCol w:w="109"/>
        <w:gridCol w:w="109"/>
        <w:gridCol w:w="109"/>
        <w:gridCol w:w="109"/>
        <w:gridCol w:w="252"/>
        <w:gridCol w:w="862"/>
        <w:gridCol w:w="132"/>
        <w:gridCol w:w="109"/>
        <w:gridCol w:w="109"/>
        <w:gridCol w:w="109"/>
        <w:gridCol w:w="211"/>
        <w:gridCol w:w="721"/>
        <w:gridCol w:w="109"/>
        <w:gridCol w:w="109"/>
        <w:gridCol w:w="109"/>
        <w:gridCol w:w="109"/>
        <w:gridCol w:w="211"/>
        <w:gridCol w:w="721"/>
        <w:gridCol w:w="109"/>
        <w:gridCol w:w="109"/>
        <w:gridCol w:w="109"/>
        <w:gridCol w:w="109"/>
        <w:gridCol w:w="252"/>
        <w:gridCol w:w="862"/>
        <w:gridCol w:w="132"/>
        <w:gridCol w:w="109"/>
        <w:gridCol w:w="109"/>
        <w:gridCol w:w="109"/>
        <w:gridCol w:w="211"/>
        <w:gridCol w:w="721"/>
        <w:gridCol w:w="155"/>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indefinite-lived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estimated future annual amortization expense was as follows:</w:t>
      </w:r>
    </w:p>
    <w:p>
      <w:pPr>
        <w:pStyle w:val="TextBody"/>
        <w:bidi w:val="0"/>
        <w:spacing w:before="0" w:after="0"/>
        <w:jc w:val="left"/>
        <w:rPr/>
      </w:pPr>
      <w:r>
        <w:rPr/>
      </w:r>
    </w:p>
    <w:tbl>
      <w:tblPr>
        <w:tblW w:w="4304" w:type="dxa"/>
        <w:jc w:val="left"/>
        <w:tblInd w:w="0" w:type="dxa"/>
        <w:tblLayout w:type="fixed"/>
        <w:tblCellMar>
          <w:top w:w="28" w:type="dxa"/>
          <w:left w:w="28" w:type="dxa"/>
          <w:bottom w:w="28" w:type="dxa"/>
          <w:right w:w="28" w:type="dxa"/>
        </w:tblCellMar>
      </w:tblPr>
      <w:tblGrid>
        <w:gridCol w:w="902"/>
        <w:gridCol w:w="793"/>
        <w:gridCol w:w="795"/>
        <w:gridCol w:w="352"/>
        <w:gridCol w:w="1205"/>
        <w:gridCol w:w="257"/>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34,065 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Goodwill, Trade Names, and Other Intangible Assets Impairment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w:t>
      </w:r>
      <w:r>
        <w:rPr>
          <w:color w:val="000000"/>
          <w:shd w:fill="FFFFFF" w:val="clear"/>
        </w:rPr>
        <w:t xml:space="preserve"> </w:t>
      </w:r>
      <w:r>
        <w:rPr>
          <w:rFonts w:ascii="Times New Roman;sans-serif" w:hAnsi="Times New Roman;sans-serif"/>
          <w:b w:val="false"/>
          <w:color w:val="000000"/>
          <w:sz w:val="20"/>
        </w:rPr>
        <w:t>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March 31, 2025, the Company performed a qualitative assessment of each of its reporting units and determined that it was not more likely than not that the fair value of its reporting units dropped below their carrying value.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lthough management believes that the Company’s current estimates and assumptions utilized in its qualitative testing are reasonable and supportable, there can be no assurance that the estimates and assumptions management used for purposes of its assessment as of March 31, 2025 will prove to be accurate predictions of future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goodwill by reporting segment was: $112.2 million for Nurse and Allied Staffing and $22.9 million for Physician Staffing, for a total of $135.1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its long-lived assets and definite-lived intangible assets, the Company reviews for impairment whenever events or changes in circumstances indicate that the carrying amount may not be recoverable. As of March 31, 2025 and 2024, the Company performed a qualitative assessment of its trade names and other intangible assets and determined it was not more likely than not that their carrying value may not be recoverable.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consists of the following:</w:t>
      </w:r>
    </w:p>
    <w:tbl>
      <w:tblPr>
        <w:tblW w:w="10205" w:type="dxa"/>
        <w:jc w:val="left"/>
        <w:tblInd w:w="0" w:type="dxa"/>
        <w:tblLayout w:type="fixed"/>
        <w:tblCellMar>
          <w:top w:w="28" w:type="dxa"/>
          <w:left w:w="28" w:type="dxa"/>
          <w:bottom w:w="28" w:type="dxa"/>
          <w:right w:w="28" w:type="dxa"/>
        </w:tblCellMar>
      </w:tblPr>
      <w:tblGrid>
        <w:gridCol w:w="1734"/>
        <w:gridCol w:w="1527"/>
        <w:gridCol w:w="1531"/>
        <w:gridCol w:w="261"/>
        <w:gridCol w:w="503"/>
        <w:gridCol w:w="137"/>
        <w:gridCol w:w="109"/>
        <w:gridCol w:w="109"/>
        <w:gridCol w:w="109"/>
        <w:gridCol w:w="276"/>
        <w:gridCol w:w="872"/>
        <w:gridCol w:w="142"/>
        <w:gridCol w:w="109"/>
        <w:gridCol w:w="109"/>
        <w:gridCol w:w="109"/>
        <w:gridCol w:w="261"/>
        <w:gridCol w:w="503"/>
        <w:gridCol w:w="137"/>
        <w:gridCol w:w="109"/>
        <w:gridCol w:w="109"/>
        <w:gridCol w:w="109"/>
        <w:gridCol w:w="273"/>
        <w:gridCol w:w="862"/>
        <w:gridCol w:w="205"/>
      </w:tblGrid>
      <w:tr>
        <w:trPr/>
        <w:tc>
          <w:tcPr>
            <w:tcW w:w="173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 interest of 6.21% and 6.31% at March 31, 2025 and December 31, 2024, respectively</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2019 Asset-Based Loan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2020, the Company amended the Loan Agreement (First Amendment), which increased the current aggregate committed size of the ABL from $120.0 million to $130.0 million. All other terms, conditions, covenants, and pricing of the Loan Agreement remained the same.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the London Interbank Offered Rate (LIBOR) as a benchmark interest rate to a replacement alternative benchmark rate or mechanism for loans made in U.S. dollars.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the Loan Agreement (Fourth Amendment), whereby the permitted indebtedness (as defined in the Loan Agreement), was increased to $175.0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Secured Overnight Financing Rate (SOFR) or the Base Rate (as defined in the Loan Agreement), at the election of the borrowers, plus an applicable margin. The applicable margin increased 10 basis points due to the credit spread associated with the transition to SOFR.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amendments were treated as modifications of debt and, as a result, the associated fees and costs were included in debt issuance costs and are amortized ratably over the remaining term of the Loan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availability is subject to a borrowing base of up to 85% of secured eligible accounts receivable, subject to adjustment at certain quality levels, minus customary reserves and subject to customary adjustments. Revolving loans and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under the Loan Agreement reduce availability under the ABL on a dollar-for-dollar basis. At March 31, 2025, there were no borrowings drawn under the ABL, and borrowing base availability under the ABL was $148.4 million, with $133.5 million of availability net of $14.9 million of letters of credit outstanding related to workers’ compensation and professional liability policies.</w:t>
      </w:r>
    </w:p>
    <w:p>
      <w:pPr>
        <w:pStyle w:val="TextBody"/>
        <w:bidi w:val="0"/>
        <w:spacing w:lineRule="auto" w:line="288" w:before="120" w:after="283"/>
        <w:jc w:val="left"/>
        <w:rPr/>
      </w:pPr>
      <w:r>
        <w:rPr>
          <w:rFonts w:ascii="Times New Roman;sans-serif" w:hAnsi="Times New Roman;sans-serif"/>
          <w:b w:val="false"/>
          <w:color w:val="000000"/>
          <w:sz w:val="20"/>
        </w:rPr>
        <w:t>As of March 31, 2025, the interest rate spreads and fees under the ABL were based on SOFR plus 1.85% for the revolving portion of the borrowing base. The Base Rate margin would have been 0.75% for the revolving portion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various restrictions applicable to the Company and its subsidiaries. For the three months ended March 31, 2025, the excess availability did not fall below the stated threshold and, as a result, there was no covenant compliance period. Obligations under the ABL are secured by substantially all of the assets of the borrowers and guarantors, subject to customary exceptions.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included on the condensed consolidated balance sheets:</w:t>
      </w:r>
    </w:p>
    <w:p>
      <w:pPr>
        <w:pStyle w:val="TextBody"/>
        <w:bidi w:val="0"/>
        <w:spacing w:before="0" w:after="0"/>
        <w:jc w:val="left"/>
        <w:rPr/>
      </w:pPr>
      <w:r>
        <w:rPr/>
      </w:r>
    </w:p>
    <w:tbl>
      <w:tblPr>
        <w:tblW w:w="8545" w:type="dxa"/>
        <w:jc w:val="left"/>
        <w:tblInd w:w="0" w:type="dxa"/>
        <w:tblLayout w:type="fixed"/>
        <w:tblCellMar>
          <w:top w:w="28" w:type="dxa"/>
          <w:left w:w="28" w:type="dxa"/>
          <w:bottom w:w="28" w:type="dxa"/>
          <w:right w:w="28" w:type="dxa"/>
        </w:tblCellMar>
      </w:tblPr>
      <w:tblGrid>
        <w:gridCol w:w="1814"/>
        <w:gridCol w:w="1594"/>
        <w:gridCol w:w="1602"/>
        <w:gridCol w:w="324"/>
        <w:gridCol w:w="948"/>
        <w:gridCol w:w="167"/>
        <w:gridCol w:w="109"/>
        <w:gridCol w:w="109"/>
        <w:gridCol w:w="109"/>
        <w:gridCol w:w="380"/>
        <w:gridCol w:w="1110"/>
        <w:gridCol w:w="279"/>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 on Condensed Consolidated Balance Sheets: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50" w:type="dxa"/>
        <w:jc w:val="center"/>
        <w:tblInd w:w="0" w:type="dxa"/>
        <w:tblLayout w:type="fixed"/>
        <w:tblCellMar>
          <w:top w:w="28" w:type="dxa"/>
          <w:left w:w="28" w:type="dxa"/>
          <w:bottom w:w="28" w:type="dxa"/>
          <w:right w:w="28" w:type="dxa"/>
        </w:tblCellMar>
      </w:tblPr>
      <w:tblGrid>
        <w:gridCol w:w="1198"/>
        <w:gridCol w:w="1055"/>
        <w:gridCol w:w="1062"/>
        <w:gridCol w:w="319"/>
        <w:gridCol w:w="319"/>
        <w:gridCol w:w="801"/>
        <w:gridCol w:w="109"/>
        <w:gridCol w:w="109"/>
        <w:gridCol w:w="109"/>
        <w:gridCol w:w="360"/>
        <w:gridCol w:w="360"/>
        <w:gridCol w:w="104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years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and total of, the remaining years to the operating lease liabilities (which do not include short-term leases) recorded on the condensed consolidated balance sheets as of March 31, 2025:</w:t>
      </w:r>
    </w:p>
    <w:tbl>
      <w:tblPr>
        <w:tblW w:w="6419" w:type="dxa"/>
        <w:jc w:val="left"/>
        <w:tblInd w:w="0" w:type="dxa"/>
        <w:tblLayout w:type="fixed"/>
        <w:tblCellMar>
          <w:top w:w="28" w:type="dxa"/>
          <w:left w:w="28" w:type="dxa"/>
          <w:bottom w:w="28" w:type="dxa"/>
          <w:right w:w="28" w:type="dxa"/>
        </w:tblCellMar>
      </w:tblPr>
      <w:tblGrid>
        <w:gridCol w:w="1587"/>
        <w:gridCol w:w="1394"/>
        <w:gridCol w:w="1399"/>
        <w:gridCol w:w="438"/>
        <w:gridCol w:w="1281"/>
        <w:gridCol w:w="320"/>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 current</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regarding supplemental cash flows:</w:t>
      </w:r>
    </w:p>
    <w:tbl>
      <w:tblPr>
        <w:tblW w:w="8666" w:type="dxa"/>
        <w:jc w:val="left"/>
        <w:tblInd w:w="0" w:type="dxa"/>
        <w:tblLayout w:type="fixed"/>
        <w:tblCellMar>
          <w:top w:w="28" w:type="dxa"/>
          <w:left w:w="28" w:type="dxa"/>
          <w:bottom w:w="28" w:type="dxa"/>
          <w:right w:w="28" w:type="dxa"/>
        </w:tblCellMar>
      </w:tblPr>
      <w:tblGrid>
        <w:gridCol w:w="2401"/>
        <w:gridCol w:w="2109"/>
        <w:gridCol w:w="2119"/>
        <w:gridCol w:w="221"/>
        <w:gridCol w:w="489"/>
        <w:gridCol w:w="114"/>
        <w:gridCol w:w="114"/>
        <w:gridCol w:w="114"/>
        <w:gridCol w:w="114"/>
        <w:gridCol w:w="221"/>
        <w:gridCol w:w="489"/>
        <w:gridCol w:w="161"/>
      </w:tblGrid>
      <w:tr>
        <w:trPr/>
        <w:tc>
          <w:tcPr>
            <w:tcW w:w="240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2885"/>
        <w:gridCol w:w="2537"/>
        <w:gridCol w:w="2543"/>
        <w:gridCol w:w="219"/>
        <w:gridCol w:w="485"/>
        <w:gridCol w:w="113"/>
        <w:gridCol w:w="113"/>
        <w:gridCol w:w="113"/>
        <w:gridCol w:w="113"/>
        <w:gridCol w:w="219"/>
        <w:gridCol w:w="485"/>
        <w:gridCol w:w="113"/>
        <w:gridCol w:w="109"/>
        <w:gridCol w:w="158"/>
      </w:tblGrid>
      <w:tr>
        <w:trPr/>
        <w:tc>
          <w:tcPr>
            <w:tcW w:w="288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Included in Condensed Consolidated Statements of Operations and Comprehensive (Loss) Income:</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and other lease costs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423" w:type="dxa"/>
            <w:gridSpan w:val="8"/>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423" w:type="dxa"/>
            <w:gridSpan w:val="8"/>
            <w:tcBorders/>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short-term lease expense, and variable and other lease costs are included in selling, general and administrative expenses, direct operating expenses, and restructuring costs in the condensed consolidated statements of operations and comprehensive (loss) income, depending on the nature of the leased asset. Operating lease expense is reported net of sublease income, which is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did not have any material operating leases that had not yet commenced, and does not have any finance lease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Deferred compensation</w:t>
      </w:r>
      <w:r>
        <w:rPr>
          <w:color w:val="000000"/>
        </w:rPr>
        <w:t>—</w:t>
      </w:r>
      <w:r>
        <w:rPr>
          <w:rFonts w:ascii="Times New Roman;sans-serif" w:hAnsi="Times New Roman;sans-serif"/>
          <w:b w:val="false"/>
          <w:color w:val="000000"/>
          <w:sz w:val="20"/>
        </w:rPr>
        <w:t>The Company utilizes Level 1 inputs to value its deferred compensation assets and liabilities. The Company’s deferred compensation assets and liabilities are measured using publicly available indices, as per the plan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financial assets and liabilities measured on a recurring basis is as follows: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bl>
      <w:tblPr>
        <w:tblW w:w="6235" w:type="dxa"/>
        <w:jc w:val="center"/>
        <w:tblInd w:w="0" w:type="dxa"/>
        <w:tblLayout w:type="fixed"/>
        <w:tblCellMar>
          <w:top w:w="28" w:type="dxa"/>
          <w:left w:w="28" w:type="dxa"/>
          <w:bottom w:w="28" w:type="dxa"/>
          <w:right w:w="28" w:type="dxa"/>
        </w:tblCellMar>
      </w:tblPr>
      <w:tblGrid>
        <w:gridCol w:w="978"/>
        <w:gridCol w:w="859"/>
        <w:gridCol w:w="863"/>
        <w:gridCol w:w="324"/>
        <w:gridCol w:w="948"/>
        <w:gridCol w:w="167"/>
        <w:gridCol w:w="109"/>
        <w:gridCol w:w="109"/>
        <w:gridCol w:w="109"/>
        <w:gridCol w:w="380"/>
        <w:gridCol w:w="1110"/>
        <w:gridCol w:w="2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(Level 1)</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asset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535"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(Level 1)</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3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material impairment charges during the three months ended March 31, 2025 and 2024.</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 not measured or recorded at fair value include earnout liabilities related to the (i) Mint and (ii) HireUp acquisitions, as discussed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Potential earnout payments related to the Mint acquisition were contingent upon meeting certain performance requirements based on 2022 through 2024 performance. On a quarterly basis, the Company performed an analysis using multiple forecasted scenarios to determine the fair value of the earnout liability. In the fourth quarter of 2023, the Company performed the earnout calculation for the first measurement period, resulting in an earnout of $4.9 million, which was paid in the first quarter of 2024. During the fourth quarter of 2024, the Company performed a calculation for the second measurement period, resulting in the achievement of a $4.4 million earnout, which was paid in the first quarter of 2025. See Note 4 - Acquisitions.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See discussion of credit losses and allowance for credit losses in Note 2 - Summary of Significant Accounting Policies. </w:t>
      </w:r>
      <w:r>
        <w:rPr>
          <w:rFonts w:ascii="Times New Roman;sans-serif" w:hAnsi="Times New Roman;sans-serif"/>
          <w:b w:val="false"/>
          <w:color w:val="000000"/>
          <w:sz w:val="20"/>
        </w:rPr>
        <w:t>Overall, based on the large number of customers in differing geographic areas, primarily throughout the United States and its territories, the Company believes that the concentration of credit risk is limited.</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11.</w:t>
      </w:r>
      <w:r>
        <w:rPr>
          <w:color w:val="000000"/>
        </w:rPr>
        <w:t>    </w:t>
      </w:r>
      <w:r>
        <w:rPr>
          <w:rFonts w:ascii="Times New Roman;sans-serif" w:hAnsi="Times New Roman;sans-serif"/>
          <w:b/>
          <w:color w:val="000000"/>
          <w:sz w:val="20"/>
        </w:rPr>
        <w:t>STOCKHOLDERS’ EQUITY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the Company’s Board of Directors authorized approximately $59.0 million in additional share repurchases, such that, effective for trades made after May 3, 2023, the aggregate amount available for stock repurchases was set at $100.0 million (the Repurchase Program).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entered into a Rule 10b5-1 Repurchase Plan to allow for share repurchases during the Company’s blackout periods, beginning on January 2, 2024 and effective through November 7,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repurchased a total of 310,235 shares of common stock for $6.4 million, at an average price of $20.51 per share. During the three months ended March 31, 2025, the Company did not repurchase any shares of its common stock, but did pay $0.3 million in excise tax related to previous share repurchases.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$40.5 million remaining for share repurchase under the Repurchase Program, subject to certain conditions in the Company’s Loan Agreement. As of March 31, 2025, the Company had 32,476,983 unrestricted shares of common stock outstanding.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Share-Based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awards and performance stock awards activity issued under the 2020 Plan and the 2024 Plan (Plans) for the three months ended March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0"/>
        <w:gridCol w:w="1142"/>
        <w:gridCol w:w="1146"/>
        <w:gridCol w:w="444"/>
        <w:gridCol w:w="445"/>
        <w:gridCol w:w="324"/>
        <w:gridCol w:w="141"/>
        <w:gridCol w:w="141"/>
        <w:gridCol w:w="141"/>
        <w:gridCol w:w="273"/>
        <w:gridCol w:w="799"/>
        <w:gridCol w:w="141"/>
        <w:gridCol w:w="109"/>
        <w:gridCol w:w="109"/>
        <w:gridCol w:w="109"/>
        <w:gridCol w:w="559"/>
        <w:gridCol w:w="509"/>
        <w:gridCol w:w="511"/>
        <w:gridCol w:w="154"/>
        <w:gridCol w:w="154"/>
        <w:gridCol w:w="154"/>
        <w:gridCol w:w="299"/>
        <w:gridCol w:w="874"/>
        <w:gridCol w:w="227"/>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Stock Awards</w:t>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Target </w:t>
              <w:br/>
              <w:t>Shares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January 1, 2025</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538,589 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409,698 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(85,001)</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March 31, 2025</w:t>
            </w:r>
          </w:p>
        </w:tc>
        <w:tc>
          <w:tcPr>
            <w:tcW w:w="8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308,615 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297,111 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Awards granted to non-employee directors under the Plans will vest on the first anniversary of such grant date, </w:t>
      </w:r>
      <w:r>
        <w:rPr>
          <w:rFonts w:ascii="Times New Roman;sans-serif" w:hAnsi="Times New Roman;sans-serif"/>
          <w:b w:val="false"/>
          <w:color w:val="000000"/>
          <w:sz w:val="20"/>
          <w:shd w:fill="FFFFFF" w:val="clear"/>
        </w:rPr>
        <w:t>or earlier subject to retirement eligibility</w:t>
      </w:r>
      <w:r>
        <w:rPr>
          <w:rFonts w:ascii="Times New Roman;sans-serif" w:hAnsi="Times New Roman;sans-serif"/>
          <w:b w:val="false"/>
          <w:color w:val="000000"/>
          <w:sz w:val="20"/>
        </w:rPr>
        <w:t>. In addition, effective for the three months ended June 30, 2020, the Company implemented modified guidelines that provide for accelerated vesting of restricted stock grants on the last date of service when a retirement-eligible director retires.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Plans, the number of target shares that are issued for performance-based stock awards are determined based on the level of attainment of the targets. During the first quarter of 2025, the Company’s Compensation Committee of the Board of Directors approved a 75.5% level of attainment for the 2022 performance-based share awards, resulting in the issuance of 85,001 performance shares that vested on March 31,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$1.3 million was included in selling, general and administrative expenses related to share-based payments, and a net of 199,588 shares of common stock were issued upon the vesting of restricted and performance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$1.2 million was included in selling, general and administrative expenses related to share-based payments, and a net of 251,024 shares of common stock were issued upon the vesting of restricted and performance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SEGMENT DATA</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    </w:t>
      </w:r>
      <w:r>
        <w:rPr>
          <w:rFonts w:ascii="Times New Roman;sans-serif" w:hAnsi="Times New Roman;sans-serif"/>
          <w:b w:val="false"/>
          <w:i/>
          <w:color w:val="000000"/>
          <w:sz w:val="20"/>
        </w:rPr>
        <w:t xml:space="preserve">Nurse and Allied Staffing </w:t>
      </w:r>
      <w:r>
        <w:rPr>
          <w:color w:val="000000"/>
        </w:rPr>
        <w:t xml:space="preserve">– </w:t>
      </w:r>
      <w:r>
        <w:rPr>
          <w:rFonts w:ascii="Times New Roman;sans-serif" w:hAnsi="Times New Roman;sans-serif"/>
          <w:b w:val="false"/>
          <w:color w:val="000000"/>
          <w:sz w:val="20"/>
        </w:rPr>
        <w:t>Nurse and Allied Staffing provides traditional staffing, recruiting, and value-added total talent solutions including: temporary and permanent placement of travel nurse and allied professionals, per diem, and healthcare leaders within nursing, allied, human resources, and finance, managed service programs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i/>
          <w:color w:val="000000"/>
          <w:sz w:val="20"/>
        </w:rPr>
        <w:t>Physician Staffing</w:t>
      </w:r>
      <w:r>
        <w:rPr>
          <w:color w:val="000000"/>
        </w:rPr>
        <w:t xml:space="preserve"> – </w:t>
      </w:r>
      <w:r>
        <w:rPr>
          <w:rFonts w:ascii="Times New Roman;sans-serif" w:hAnsi="Times New Roman;sans-serif"/>
          <w:b w:val="false"/>
          <w:color w:val="000000"/>
          <w:sz w:val="20"/>
        </w:rPr>
        <w:t>Physician Staffing provides physicians in many specialties, as well as certified registered nurse anesthetists, nurse 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(benefits) costs, restructuring (benefits) costs, legal and other losses, impairment charges, and corporate overhead. Management believes that its measure of contribution income is most consistent with that used to measure the corresponding amounts on its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Information on reportable segments and a</w:t>
      </w:r>
      <w:r>
        <w:rPr>
          <w:color w:val="000000"/>
        </w:rPr>
        <w:t> </w:t>
      </w:r>
      <w:r>
        <w:rPr>
          <w:rFonts w:ascii="Times New Roman;sans-serif" w:hAnsi="Times New Roman;sans-serif"/>
          <w:b w:val="false"/>
          <w:color w:val="000000"/>
          <w:sz w:val="20"/>
        </w:rPr>
        <w:t>reconciliation to loss before income taxes for the period indicated are as follows:</w:t>
      </w:r>
    </w:p>
    <w:p>
      <w:pPr>
        <w:pStyle w:val="TextBody"/>
        <w:bidi w:val="0"/>
        <w:spacing w:before="0" w:after="0"/>
        <w:jc w:val="left"/>
        <w:rPr/>
      </w:pPr>
      <w:r>
        <w:rPr/>
      </w:r>
    </w:p>
    <w:tbl>
      <w:tblPr>
        <w:tblW w:w="9204" w:type="dxa"/>
        <w:jc w:val="left"/>
        <w:tblInd w:w="0" w:type="dxa"/>
        <w:tblLayout w:type="fixed"/>
        <w:tblCellMar>
          <w:top w:w="28" w:type="dxa"/>
          <w:left w:w="28" w:type="dxa"/>
          <w:bottom w:w="28" w:type="dxa"/>
          <w:right w:w="28" w:type="dxa"/>
        </w:tblCellMar>
      </w:tblPr>
      <w:tblGrid>
        <w:gridCol w:w="1241"/>
        <w:gridCol w:w="1095"/>
        <w:gridCol w:w="1099"/>
        <w:gridCol w:w="408"/>
        <w:gridCol w:w="1600"/>
        <w:gridCol w:w="211"/>
        <w:gridCol w:w="109"/>
        <w:gridCol w:w="109"/>
        <w:gridCol w:w="109"/>
        <w:gridCol w:w="331"/>
        <w:gridCol w:w="1133"/>
        <w:gridCol w:w="171"/>
        <w:gridCol w:w="109"/>
        <w:gridCol w:w="109"/>
        <w:gridCol w:w="109"/>
        <w:gridCol w:w="223"/>
        <w:gridCol w:w="874"/>
        <w:gridCol w:w="16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(income) expense</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corporate G&amp;A</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(b)</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reportable segments and a reconciliation to income before income taxes for the period indicated are as follows:</w:t>
      </w:r>
    </w:p>
    <w:p>
      <w:pPr>
        <w:pStyle w:val="TextBody"/>
        <w:bidi w:val="0"/>
        <w:spacing w:before="0" w:after="0"/>
        <w:jc w:val="left"/>
        <w:rPr/>
      </w:pPr>
      <w:r>
        <w:rPr/>
      </w:r>
    </w:p>
    <w:tbl>
      <w:tblPr>
        <w:tblW w:w="8439" w:type="dxa"/>
        <w:jc w:val="left"/>
        <w:tblInd w:w="0" w:type="dxa"/>
        <w:tblLayout w:type="fixed"/>
        <w:tblCellMar>
          <w:top w:w="28" w:type="dxa"/>
          <w:left w:w="28" w:type="dxa"/>
          <w:bottom w:w="28" w:type="dxa"/>
          <w:right w:w="28" w:type="dxa"/>
        </w:tblCellMar>
      </w:tblPr>
      <w:tblGrid>
        <w:gridCol w:w="965"/>
        <w:gridCol w:w="851"/>
        <w:gridCol w:w="854"/>
        <w:gridCol w:w="408"/>
        <w:gridCol w:w="1600"/>
        <w:gridCol w:w="211"/>
        <w:gridCol w:w="109"/>
        <w:gridCol w:w="109"/>
        <w:gridCol w:w="109"/>
        <w:gridCol w:w="331"/>
        <w:gridCol w:w="1133"/>
        <w:gridCol w:w="171"/>
        <w:gridCol w:w="109"/>
        <w:gridCol w:w="109"/>
        <w:gridCol w:w="109"/>
        <w:gridCol w:w="223"/>
        <w:gridCol w:w="874"/>
        <w:gridCol w:w="164"/>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264,880 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Divisional corporate G&amp;A</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profit or loss: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(b)</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based on services provided. During the three months ended March 31, 2025 and 2024, all revenue was generated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three months ended March 31, 2025 and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evaluate, manage, or measure performance of segments using asset information; accordingly, total asset information by segment is not prepared or disclosed.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the segments are the same as those described in Note 2 – Summary of Significant Accounting Policies, which also provides information about major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tables in Note 3 - Revenue Recognition, which present segment revenues by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13.    </w:t>
      </w:r>
      <w:r>
        <w:rPr>
          <w:rFonts w:ascii="Times New Roman;sans-serif" w:hAnsi="Times New Roman;sans-serif"/>
          <w:b/>
          <w:color w:val="000000"/>
          <w:sz w:val="20"/>
          <w:shd w:fill="FFFFFF" w:val="clear"/>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w:t>
      </w:r>
      <w:r>
        <w:rPr>
          <w:color w:val="000000"/>
        </w:rPr>
        <w:t>’</w:t>
      </w:r>
      <w:r>
        <w:rPr>
          <w:rFonts w:ascii="Times New Roman;sans-serif" w:hAnsi="Times New Roman;sans-serif"/>
          <w:b w:val="false"/>
          <w:color w:val="000000"/>
          <w:sz w:val="20"/>
          <w:shd w:fill="FFFFFF" w:val="clear"/>
        </w:rPr>
        <w:t>s current assessments, including available insurance recoveries, which would impact the Company</w:t>
      </w:r>
      <w:r>
        <w:rPr>
          <w:color w:val="000000"/>
        </w:rPr>
        <w:t>’</w:t>
      </w:r>
      <w:r>
        <w:rPr>
          <w:rFonts w:ascii="Times New Roman;sans-serif" w:hAnsi="Times New Roman;sans-serif"/>
          <w:b w:val="false"/>
          <w:color w:val="000000"/>
          <w:sz w:val="20"/>
          <w:shd w:fill="FFFFFF" w:val="clear"/>
        </w:rPr>
        <w:t>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w:t>
      </w:r>
      <w:r>
        <w:rPr>
          <w:color w:val="000000"/>
        </w:rPr>
        <w:t>’</w:t>
      </w:r>
      <w:r>
        <w:rPr>
          <w:rFonts w:ascii="Times New Roman;sans-serif" w:hAnsi="Times New Roman;sans-serif"/>
          <w:b w:val="false"/>
          <w:color w:val="000000"/>
          <w:sz w:val="20"/>
          <w:shd w:fill="FFFFFF" w:val="clear"/>
        </w:rPr>
        <w:t>s financial results. The Company believes that the outcome of any outstanding loss contingencies as of March 31, 2025 will not have a material adverse effect on its business,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Other State Non-Income Tax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(loss) income and the liability is reflected in sales tax payable within other current liabilities in its condensed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three-month periods ended March 31, 2025 and 2024, the Company calculated its effective tax rate estimating its annual effective tax rate. The Company’s effective tax rate for the three months ended March 31, 2025 and 2024 was 45.5% and 27.0%, respectively, including the impact of discrete items. Excluding discrete items, the Company’s effective tax rate for the three months ended March 31, 2025 and 2024 was 56.1% and 37.0%, respectively. The effective tax rates for the first quarters of 2025 and 2024 were primarily impacted by federal and state taxes. The increase in the effective tax rate was primarily related to a decrease in book income relative to nondeductible items.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approximately $10.2 million of unrecognized tax benefits included in other non-current liabilities, $11.1 million, net of deferred taxes, which would impact the effective tax rate if recognized. During the three months ended March 31, 2025, the Company had net increases of $0.3 million to its current year unrecognized tax benefits related to federal and state tax provisions.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many international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The Company currently operates in one country that has adopted the Pillar Two rules, but should meet the safe harbor rules. The Company does not expect the adoption of the Pillar Two rules by any jurisdiction in which it currently operates to have a material impact on its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tax years 2012 through 2024 remain open to examination by certain taxing jurisdictions to which the Company is subject to tax, other than certain states in which the statute of limitations has been extended.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has entered into an arrangement for digital marketing services provided by a firm that is related to a certain member of the Company</w:t>
      </w:r>
      <w:r>
        <w:rPr>
          <w:color w:val="000000"/>
        </w:rPr>
        <w:t>’</w:t>
      </w:r>
      <w:r>
        <w:rPr>
          <w:rFonts w:ascii="Times New Roman;sans-serif" w:hAnsi="Times New Roman;sans-serif"/>
          <w:b w:val="false"/>
          <w:color w:val="000000"/>
          <w:sz w:val="20"/>
          <w:shd w:fill="FFFFFF" w:val="clear"/>
        </w:rPr>
        <w:t>s Board of Directors, who is a minority shareholder in the firm</w:t>
      </w:r>
      <w:r>
        <w:rPr>
          <w:color w:val="000000"/>
        </w:rPr>
        <w:t>’</w:t>
      </w:r>
      <w:r>
        <w:rPr>
          <w:rFonts w:ascii="Times New Roman;sans-serif" w:hAnsi="Times New Roman;sans-serif"/>
          <w:b w:val="false"/>
          <w:color w:val="000000"/>
          <w:sz w:val="20"/>
          <w:shd w:fill="FFFFFF" w:val="clear"/>
        </w:rPr>
        <w:t>s parent company and is a member of the parent company</w:t>
      </w:r>
      <w:r>
        <w:rPr>
          <w:color w:val="000000"/>
        </w:rPr>
        <w:t>’</w:t>
      </w:r>
      <w:r>
        <w:rPr>
          <w:rFonts w:ascii="Times New Roman;sans-serif" w:hAnsi="Times New Roman;sans-serif"/>
          <w:b w:val="false"/>
          <w:color w:val="000000"/>
          <w:sz w:val="20"/>
          <w:shd w:fill="FFFFFF" w:val="clear"/>
        </w:rPr>
        <w:t>s Board of Directors. Management believes that the terms of the arrangement are equivalent to those prevailing in an arm</w:t>
      </w:r>
      <w:r>
        <w:rPr>
          <w:color w:val="000000"/>
        </w:rPr>
        <w:t>’</w:t>
      </w:r>
      <w:r>
        <w:rPr>
          <w:rFonts w:ascii="Times New Roman;sans-serif" w:hAnsi="Times New Roman;sans-serif"/>
          <w:b w:val="false"/>
          <w:color w:val="000000"/>
          <w:sz w:val="20"/>
          <w:shd w:fill="FFFFFF" w:val="clear"/>
        </w:rPr>
        <w:t>s-length transaction and have been approved by the Audit Committee of the Company</w:t>
      </w:r>
      <w:r>
        <w:rPr>
          <w:color w:val="000000"/>
        </w:rPr>
        <w:t>’</w:t>
      </w:r>
      <w:r>
        <w:rPr>
          <w:rFonts w:ascii="Times New Roman;sans-serif" w:hAnsi="Times New Roman;sans-serif"/>
          <w:b w:val="false"/>
          <w:color w:val="000000"/>
          <w:sz w:val="20"/>
          <w:shd w:fill="FFFFFF" w:val="clear"/>
        </w:rPr>
        <w:t>s Board of Directors through the Company</w:t>
      </w:r>
      <w:r>
        <w:rPr>
          <w:color w:val="000000"/>
        </w:rPr>
        <w:t>’</w:t>
      </w:r>
      <w:r>
        <w:rPr>
          <w:rFonts w:ascii="Times New Roman;sans-serif" w:hAnsi="Times New Roman;sans-serif"/>
          <w:b w:val="false"/>
          <w:color w:val="000000"/>
          <w:sz w:val="20"/>
          <w:shd w:fill="FFFFFF" w:val="clear"/>
        </w:rPr>
        <w:t>s related party transaction approval process. The digital marketing firm manages a limited number of digital publishers covering various Company brands for a monthly management fee. During the three months ended March 31, 2025 and 2024, the Company incurred an immaterial amount in expenses and had an immaterial payable balance at March 31, 2025 and December 31,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provides services to entities that are affiliated with certain members of the Company’s Board of Directors. Management believes that the services were conducted on terms equivalent to those prevailing in an arm</w:t>
      </w:r>
      <w:r>
        <w:rPr>
          <w:color w:val="000000"/>
        </w:rPr>
        <w:t>’</w:t>
      </w:r>
      <w:r>
        <w:rPr>
          <w:rFonts w:ascii="Times New Roman;sans-serif" w:hAnsi="Times New Roman;sans-serif"/>
          <w:b w:val="false"/>
          <w:color w:val="000000"/>
          <w:sz w:val="20"/>
          <w:shd w:fill="FFFFFF" w:val="clear"/>
        </w:rPr>
        <w:t xml:space="preserve">s-length transaction. Revenue related to these transactions was </w:t>
      </w:r>
      <w:r>
        <w:rPr>
          <w:rFonts w:ascii="Times New Roman;sans-serif" w:hAnsi="Times New Roman;sans-serif"/>
          <w:b w:val="false"/>
          <w:color w:val="000000"/>
          <w:sz w:val="20"/>
        </w:rPr>
        <w:t>$2.0 million</w:t>
      </w:r>
      <w:r>
        <w:rPr>
          <w:color w:val="000000"/>
          <w:shd w:fill="FFFFFF" w:val="clear"/>
        </w:rPr>
        <w:t xml:space="preserve"> </w:t>
      </w:r>
      <w:r>
        <w:rPr>
          <w:rFonts w:ascii="Times New Roman;sans-serif" w:hAnsi="Times New Roman;sans-serif"/>
          <w:b w:val="false"/>
          <w:color w:val="000000"/>
          <w:sz w:val="20"/>
          <w:shd w:fill="FFFFFF" w:val="clear"/>
        </w:rPr>
        <w:t>for the three months ended March 31, 2025 and an immaterial amount for the three months ended March 31, 2024. Accounts receivable due from these entities was an immaterial amount at March 31, 2025 and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2024, as amended by Amendment No. 1 on Form 10-K/A (2024 Form 10-K) (including Part I, Item 1A. “Risk Factors”), our financial statements and the accompanying notes to our financial statements.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workforce solutions include managed service programs (MSPs), vendor management systems (VMS), in-home care services, education health services, recruitment process outsourcing (RPO), project management, and other outsourcing and consultative services as described in Item 1. </w:t>
      </w:r>
      <w:r>
        <w:rPr>
          <w:color w:val="000000"/>
          <w:shd w:fill="FFFFFF" w:val="clear"/>
        </w:rPr>
        <w:t>“</w:t>
      </w:r>
      <w:r>
        <w:rPr>
          <w:rFonts w:ascii="Times New Roman;sans-serif" w:hAnsi="Times New Roman;sans-serif"/>
          <w:b w:val="false"/>
          <w:color w:val="000000"/>
          <w:sz w:val="20"/>
        </w:rPr>
        <w:t>Business</w:t>
      </w:r>
      <w:r>
        <w:rPr>
          <w:color w:val="000000"/>
          <w:shd w:fill="FFFFFF" w:val="clear"/>
        </w:rPr>
        <w:t xml:space="preserve">” </w:t>
      </w:r>
      <w:r>
        <w:rPr>
          <w:rFonts w:ascii="Times New Roman;sans-serif" w:hAnsi="Times New Roman;sans-serif"/>
          <w:b w:val="false"/>
          <w:color w:val="000000"/>
          <w:sz w:val="20"/>
        </w:rPr>
        <w:t>in our 2024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two reportable segments offer services to its customers as described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i/>
          <w:color w:val="000000"/>
          <w:sz w:val="20"/>
        </w:rPr>
        <w:t>Nurse and Allied Staffing</w:t>
      </w:r>
      <w:r>
        <w:rPr>
          <w:color w:val="000000"/>
        </w:rPr>
        <w:t xml:space="preserve"> – </w:t>
      </w:r>
      <w:r>
        <w:rPr>
          <w:rFonts w:ascii="Times New Roman;sans-serif" w:hAnsi="Times New Roman;sans-serif"/>
          <w:b w:val="false"/>
          <w:color w:val="000000"/>
          <w:sz w:val="20"/>
        </w:rPr>
        <w:t xml:space="preserve">Nurse and Allied Staffing represented approximately 83% of total revenue in the first quarter of 2025. 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We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i/>
          <w:color w:val="000000"/>
          <w:sz w:val="20"/>
        </w:rPr>
        <w:t>Physician Staffing</w:t>
      </w:r>
      <w:r>
        <w:rPr>
          <w:color w:val="000000"/>
        </w:rPr>
        <w:t xml:space="preserve"> – </w:t>
      </w:r>
      <w:r>
        <w:rPr>
          <w:rFonts w:ascii="Times New Roman;sans-serif" w:hAnsi="Times New Roman;sans-serif"/>
          <w:b w:val="false"/>
          <w:color w:val="000000"/>
          <w:sz w:val="20"/>
        </w:rPr>
        <w:t>Physician Staffing represented approximately 17% of total revenue in the first quarter of 2025. Physician Staffing provides physicians in many specialties, as well as certified registered nurse anesthetists, nurse practitioners, and physician assistants as independent contractors on temporary assignments throughout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2025, consolidated revenue declined 22.6% year-over-year to $293.4 million, as travel nurse and allied, and per diem, has seen a decline in both volume and average bill rates. The declines were partly offset by continued growth in Homecare Staffing, which was up 29.5% over the prior year, as well as growth in our Physician Staffing segment, which was up 8.8% over the prior year. Net loss attributable to common stockholders in the first quarter of 2025 was $0.5 million, as compared to net income of $2.7 million for the same period in the prior year. Exiting the first quarter and into the second quarter of 2025, Nurse and Allied Staffing margins showed continued improvement.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the three months ended March 31, 2025, cash and cash equivalents totaled $80.7 million. Cash flow provided by operating activities for the three months ended March 31, 2025 was</w:t>
      </w:r>
      <w:r>
        <w:rPr>
          <w:color w:val="000000"/>
          <w:shd w:fill="FFFFFF" w:val="clear"/>
        </w:rPr>
        <w:t xml:space="preserve"> </w:t>
      </w:r>
      <w:r>
        <w:rPr>
          <w:rFonts w:ascii="Times New Roman;sans-serif" w:hAnsi="Times New Roman;sans-serif"/>
          <w:b w:val="false"/>
          <w:color w:val="000000"/>
          <w:sz w:val="20"/>
          <w:shd w:fill="FFFFFF" w:val="clear"/>
        </w:rPr>
        <w:t xml:space="preserve">$5.7 </w:t>
      </w:r>
      <w:r>
        <w:rPr>
          <w:rFonts w:ascii="Times New Roman;sans-serif" w:hAnsi="Times New Roman;sans-serif"/>
          <w:b w:val="false"/>
          <w:color w:val="000000"/>
          <w:sz w:val="20"/>
        </w:rPr>
        <w:t>million. As of March 31, 2025, there were no borrowings drawn under the revolving senior-secured asset-based credit facility (ABL), and borrowing base availability under the ABL was $148.4 million, with $133.5 million of availability net of $14.9 million of letters of credit. See Note 8 - Debt to our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3, 2024, Cross Country entered into an Agreement and Plan of Merger (Merger Agreement) with </w:t>
      </w:r>
      <w:r>
        <w:rPr>
          <w:rFonts w:ascii="Times New Roman;sans-serif" w:hAnsi="Times New Roman;sans-serif"/>
          <w:b w:val="false"/>
          <w:color w:val="000000"/>
          <w:sz w:val="20"/>
          <w:shd w:fill="FFFFFF" w:val="clear"/>
        </w:rPr>
        <w:t>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w:t>
      </w:r>
      <w:r>
        <w:rPr>
          <w:rFonts w:ascii="Times New Roman;sans-serif" w:hAnsi="Times New Roman;sans-serif"/>
          <w:b w:val="false"/>
          <w:color w:val="000000"/>
          <w:sz w:val="20"/>
        </w:rPr>
        <w:t>. On February 20, 2025, the Company and Aya Healthcare each received a request for additional information from the U.S. Federal Trade Commission in connection with their review of the transactions contemplated by the Merger Agreement. The Company expects that the Aya Merger will close in the second half of 2025, subject to the satisfaction of other customary closing conditions, including regulatory approvals. The Aya Merger was approved by the Company’s stockholders at a special meeting held on February 28, 2025. Upon completion of the Aya Merger, it is expected that Cross Country will become a private company and its common stock will no longer trade on Nasdaq. See Note 1 - Organization and Basis of Presentation to our condensed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Results of Operations, Segment Results, and Liquidity and Capital Resources sections that follow for further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Metrics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4"/>
        <w:gridCol w:w="495"/>
        <w:gridCol w:w="497"/>
        <w:gridCol w:w="2514"/>
        <w:gridCol w:w="2514"/>
        <w:gridCol w:w="3571"/>
      </w:tblGrid>
      <w:tr>
        <w:trPr/>
        <w:tc>
          <w:tcPr>
            <w:tcW w:w="6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Nurse and Allied Staffing </w:t>
            </w:r>
          </w:p>
        </w:tc>
        <w:tc>
          <w:tcPr>
            <w:tcW w:w="8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FTEs represent the average number of Nurse and Allied Staffing contract personnel on a full-time equivalent basis.</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FTE per day is calculated by dividing the Nurse and Allied Staffing revenue, excluding permanent placement, per FTE by the number of days worked in the respective periods.</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filled is calculated by dividing the total hours invoiced during the period, including an estimate for the impact of accrued revenue, by eight hours.</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day filled is calculated by dividing revenue as reported by days filled for the period presented.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for the periods indicated, selected condensed consolidated statements of operations and comprehensive (loss) income data expressed as a percentage of revenue. Our historical results of operations are not necessarily indicative of future operating results.</w:t>
      </w:r>
    </w:p>
    <w:p>
      <w:pPr>
        <w:pStyle w:val="TextBody"/>
        <w:bidi w:val="0"/>
        <w:spacing w:before="0" w:after="0"/>
        <w:jc w:val="left"/>
        <w:rPr/>
      </w:pPr>
      <w:r>
        <w:rPr/>
      </w:r>
    </w:p>
    <w:tbl>
      <w:tblPr>
        <w:tblW w:w="7519" w:type="dxa"/>
        <w:jc w:val="left"/>
        <w:tblInd w:w="0" w:type="dxa"/>
        <w:tblLayout w:type="fixed"/>
        <w:tblCellMar>
          <w:top w:w="28" w:type="dxa"/>
          <w:left w:w="28" w:type="dxa"/>
          <w:bottom w:w="28" w:type="dxa"/>
          <w:right w:w="28" w:type="dxa"/>
        </w:tblCellMar>
      </w:tblPr>
      <w:tblGrid>
        <w:gridCol w:w="1648"/>
        <w:gridCol w:w="1453"/>
        <w:gridCol w:w="1459"/>
        <w:gridCol w:w="352"/>
        <w:gridCol w:w="264"/>
        <w:gridCol w:w="389"/>
        <w:gridCol w:w="156"/>
        <w:gridCol w:w="156"/>
        <w:gridCol w:w="156"/>
        <w:gridCol w:w="352"/>
        <w:gridCol w:w="264"/>
        <w:gridCol w:w="389"/>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9"/>
        </w:rPr>
        <w:t>Comparison of Results for the Three Months Ended March 31, 2025 and the Three Months Ended March 31, 2024</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93"/>
        <w:gridCol w:w="1120"/>
        <w:gridCol w:w="1124"/>
        <w:gridCol w:w="211"/>
        <w:gridCol w:w="826"/>
        <w:gridCol w:w="109"/>
        <w:gridCol w:w="109"/>
        <w:gridCol w:w="109"/>
        <w:gridCol w:w="109"/>
        <w:gridCol w:w="211"/>
        <w:gridCol w:w="826"/>
        <w:gridCol w:w="109"/>
        <w:gridCol w:w="109"/>
        <w:gridCol w:w="109"/>
        <w:gridCol w:w="109"/>
        <w:gridCol w:w="298"/>
        <w:gridCol w:w="1107"/>
        <w:gridCol w:w="153"/>
        <w:gridCol w:w="109"/>
        <w:gridCol w:w="109"/>
        <w:gridCol w:w="109"/>
        <w:gridCol w:w="367"/>
        <w:gridCol w:w="338"/>
        <w:gridCol w:w="932"/>
      </w:tblGrid>
      <w:tr>
        <w:trPr/>
        <w:tc>
          <w:tcPr>
            <w:tcW w:w="149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from services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68" w:before="0" w:after="0"/>
        <w:jc w:val="left"/>
        <w:rPr/>
      </w:pPr>
      <w:r>
        <w:rPr>
          <w:rFonts w:ascii="Times New Roman;sans-serif" w:hAnsi="Times New Roman;sans-serif"/>
          <w:b w:val="false"/>
          <w:color w:val="000000"/>
          <w:sz w:val="20"/>
        </w:rPr>
        <w:t xml:space="preserve">Revenue from services decreased 22.6% to $293.4 million for the three months ended March 31, 2025, as compared to $379.2 million for the three months ended March 31, 2024, due to volume and bill rate declines in the Nurse and Allied Staffing segment partially offset by higher average bill rates in the Physician Staffing segment. </w:t>
      </w:r>
      <w:r>
        <w:rPr>
          <w:rFonts w:ascii="Times New Roman;sans-serif" w:hAnsi="Times New Roman;sans-serif"/>
          <w:b w:val="false"/>
          <w:color w:val="000000"/>
          <w:sz w:val="20"/>
          <w:shd w:fill="FFFFFF" w:val="clear"/>
        </w:rPr>
        <w:t xml:space="preserve">See further discussion in Segment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Direct operating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 consist primarily of field employee compensation and independent contractor expenses, housing expenses, travel expenses, and related insurance expenses. Direct operating expenses decreased $67.1 million, or 22.2%, to $234.8 million for the three months ended March 31, 2025, as compared to $301.9 million for the three months ended March 31, 2024, as a result of revenue decreases and the tightening of the bill/pay spreads. As a percentage of total revenue, direct operating expenses increased to 80.0%, as compared to 79.6% in the prior year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Selling, general and administrative expenses decreased 17.0% to $52.5 million for the three months ended March 31, 2025, as compared to $63.3 million for the three months ended March 31, 2024,</w:t>
      </w:r>
      <w:r>
        <w:rPr>
          <w:color w:val="000000"/>
          <w:shd w:fill="FFFFFF" w:val="clear"/>
        </w:rPr>
        <w:t xml:space="preserve"> </w:t>
      </w:r>
      <w:r>
        <w:rPr>
          <w:rFonts w:ascii="Times New Roman;sans-serif" w:hAnsi="Times New Roman;sans-serif"/>
          <w:b w:val="false"/>
          <w:color w:val="000000"/>
          <w:sz w:val="20"/>
          <w:shd w:fill="FFFFFF" w:val="clear"/>
        </w:rPr>
        <w:t>primarily due to decreases in compensation and benefit expense through proactive cost management. As a percentage of total revenue, selling, general and administrative expenses increased to 17.9% for the three months ended March 31, 2025, as compared to 16.7% for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loss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Credit loss expense for the three months ended March 31, 2025 was immaterial, as compared to $1.3 million for the three months ended March 31, 2024. As a percentage of revenue, credit loss expense was 0.0% for the three months ended March 31, 2025 and 0.3% for the three months ended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Depreciation and amortization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the three months ended March 31, 2025 was $4.8 million, as compared to $4.6 million for the three months ended March 31, 2024. As a percentage of revenue, depreciation and amortization expense was 1.6% for the three months ended March 31, 2025 and 1.2%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Acquisition and integration-related costs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Acquisition and integration-related costs relate primarily to fees associated with the pending Aya Merger. See Note 1 - Organization and Basis of Presentation to our condensed consolidated financial statements. There were no such costs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for the three months ended March 31, 2025 were primarily comprised of employee terminations costs, and were primarily comprised of ongoing lease exit costs for the three months ended March 31, 2024. See Note 2 - Summary of Significant Accounting Policies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and other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recorded legal and other losses of $3.7 million representing an offer to settle a lawsuit, as well as estimated costs related to an unrecoverable asset. There were no such losses for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 totaled $0.6 million for the three months ended March 31, 2024 and related to real estate restructuring activities. There were no such charges for the three months ended March 31,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of $0.7 million for the three months ended March 31, 2025 related to higher average cash on hand with higher available interest rates during the quarter. Interest income was immaterial for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expense (income),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March 31, 2024, other expense (income), net included a $0.9 million decrease of the remaining earnout liability related to the Mint acquisition. There were no such adjustments for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 (benefit)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totaled $0.4 million for the three months ended March 31, 2025, as compared to income tax expense of $1.0 million for the three months ended March 31, 2024. The income tax benefit for the first quarter of 2025 and the income tax expense for the first quarter of 2024 were primarily driven by federal and state taxes. The decrease in income tax expense was primarily related to a decrease in book income. See Note 14 - Income Taxes to our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Results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on operating segments and a reconciliation to (loss) income from operations for the periods indicated are as follows: </w:t>
      </w:r>
    </w:p>
    <w:tbl>
      <w:tblPr>
        <w:tblW w:w="6534" w:type="dxa"/>
        <w:jc w:val="left"/>
        <w:tblInd w:w="0" w:type="dxa"/>
        <w:tblLayout w:type="fixed"/>
        <w:tblCellMar>
          <w:top w:w="28" w:type="dxa"/>
          <w:left w:w="28" w:type="dxa"/>
          <w:bottom w:w="28" w:type="dxa"/>
          <w:right w:w="28" w:type="dxa"/>
        </w:tblCellMar>
      </w:tblPr>
      <w:tblGrid>
        <w:gridCol w:w="1241"/>
        <w:gridCol w:w="1095"/>
        <w:gridCol w:w="1098"/>
        <w:gridCol w:w="211"/>
        <w:gridCol w:w="826"/>
        <w:gridCol w:w="109"/>
        <w:gridCol w:w="109"/>
        <w:gridCol w:w="109"/>
        <w:gridCol w:w="109"/>
        <w:gridCol w:w="211"/>
        <w:gridCol w:w="826"/>
        <w:gridCol w:w="109"/>
        <w:gridCol w:w="109"/>
        <w:gridCol w:w="109"/>
        <w:gridCol w:w="109"/>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 Segment Data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statistical data for our business segments for the periods indicated are as follows:</w:t>
      </w:r>
    </w:p>
    <w:tbl>
      <w:tblPr>
        <w:tblW w:w="8906" w:type="dxa"/>
        <w:jc w:val="left"/>
        <w:tblInd w:w="0" w:type="dxa"/>
        <w:tblLayout w:type="fixed"/>
        <w:tblCellMar>
          <w:top w:w="28" w:type="dxa"/>
          <w:left w:w="28" w:type="dxa"/>
          <w:bottom w:w="28" w:type="dxa"/>
          <w:right w:w="28" w:type="dxa"/>
        </w:tblCellMar>
      </w:tblPr>
      <w:tblGrid>
        <w:gridCol w:w="1605"/>
        <w:gridCol w:w="1414"/>
        <w:gridCol w:w="1420"/>
        <w:gridCol w:w="201"/>
        <w:gridCol w:w="572"/>
        <w:gridCol w:w="112"/>
        <w:gridCol w:w="109"/>
        <w:gridCol w:w="109"/>
        <w:gridCol w:w="109"/>
        <w:gridCol w:w="201"/>
        <w:gridCol w:w="572"/>
        <w:gridCol w:w="112"/>
        <w:gridCol w:w="109"/>
        <w:gridCol w:w="109"/>
        <w:gridCol w:w="109"/>
        <w:gridCol w:w="200"/>
        <w:gridCol w:w="430"/>
        <w:gridCol w:w="109"/>
        <w:gridCol w:w="109"/>
        <w:gridCol w:w="109"/>
        <w:gridCol w:w="109"/>
        <w:gridCol w:w="269"/>
        <w:gridCol w:w="271"/>
        <w:gridCol w:w="437"/>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Nurse and Allied Staffing statistical data: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FTEs</w:t>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Average Nurse and Allied Staffing revenue per FTE per day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Physician Staffing statistical data: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Days filled </w:t>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per day filled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304"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See definition of Business Measurements under the Operating Metrics section of the MD&amp;A.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Segment Comparison - Three Months Ended March 31, 2025 and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Nurse and Allied Staffing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$89.9 million, or 27.1%, to $242.3 million for the three months ended March 31, 2025, as compared to $332.2 million for the three months ended March 31, 2024, driven primarily by an 18.8% decline in professionals on assignment and, to a lesser extent, a 9.3% normalization in bill rates. The decline in professionals on assignment is largely the result of lower demand, as many customers reduced their spend on contingent labor. Also within the segment, Homecare Staffing experienced year-over-year revenue growth of 29.5% and sequential revenue growth of 10.3%, and Cross Country Education experienced sequential revenue growth of 11.5%, in the first quarter of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decreased $10.0 million, or 36.6%, to $17.2 million for the three months ended March 31, 2025, as compared to $27.2 million for the three months ended March 31, 2024. As a percentage of segment revenue, contribution income margin decreased to 7.1% for the three months ended March 31, 2025, as compared to 8.2% for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average number of FTEs on contract during the three months ended March 31, 2025 decreased 18.8% from the three months ended March 31, 2024, primarily due to headcount decline in travel nurse and allied, per diem, and education. The average revenue per FTE per day decreased 9.3%.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Physician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$4.1 million, or 8.8%, to $51.1 million for the three months ended March 31, 2025, as compared to $47.0 million for the three months ended March 31, 2024, primarily due to the impact from higher rates and favorable specialty mix.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increased $0.9 million, or 28.4%, to $4.0 million for the three months ended March 31, 2025, as compared to $3.1 million for the three months ended March 31, 2024. As a percentage of segment revenue, contribution income was 7.9% for the three months ended March 31, 2025, as compared to 6.7% for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days filled for the three months ended March 31, 2025 decreased 4.6% to 22,692, as compared to 23,785 in the prior year. Revenue per day filled was $2,253, as compared with $1,976 in the prior year, due to price increases.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 Overhead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Corporate overhead includes unallocated executive leadership and other centralized corporate functional support costs, such as finance, IT, legal, human resources, and marketing, as well as public company expenses and corporate-wide projects. Corporate overhead decreased to $15.1 million for the three months ended March 31, 2025, from $17.6 million for the three months ended March 31, 2024, primarily due to de</w:t>
      </w:r>
      <w:r>
        <w:rPr>
          <w:rFonts w:ascii="Times New Roman;sans-serif" w:hAnsi="Times New Roman;sans-serif"/>
          <w:b w:val="false"/>
          <w:color w:val="000000"/>
          <w:sz w:val="20"/>
          <w:shd w:fill="FFFFFF" w:val="clear"/>
        </w:rPr>
        <w:t>creases in compensation and benefit expense, and software and hardware expense.</w:t>
      </w:r>
      <w:r>
        <w:rPr>
          <w:color w:val="000000"/>
        </w:rPr>
        <w:t xml:space="preserve"> </w:t>
      </w:r>
      <w:r>
        <w:rPr>
          <w:rFonts w:ascii="Times New Roman;sans-serif" w:hAnsi="Times New Roman;sans-serif"/>
          <w:b w:val="false"/>
          <w:color w:val="000000"/>
          <w:sz w:val="20"/>
        </w:rPr>
        <w:t>As a percentage of consolidated revenue, corporate overhead was 5.2% for the three months ended March 31, 2025 and 4.6% for the three months ended March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At March 31, 2025, we reported $80.7 million in cash and cash equivalents, with no borrowings drawn under the ABL. Working capital increased by $1.6 million to $216.2 million as of March 31, 2025, as compared to $214.6 million as of December 31, 2024, primarily due to a decrease in net receivables and the timing of disbursements. As of March 31, 2025, our days</w:t>
      </w:r>
      <w:r>
        <w:rPr>
          <w:color w:val="000000"/>
          <w:shd w:fill="FFFFFF" w:val="clear"/>
        </w:rPr>
        <w:t>’</w:t>
      </w:r>
      <w:r>
        <w:rPr>
          <w:color w:val="000000"/>
        </w:rPr>
        <w:t xml:space="preserve"> </w:t>
      </w:r>
      <w:r>
        <w:rPr>
          <w:rFonts w:ascii="Times New Roman;sans-serif" w:hAnsi="Times New Roman;sans-serif"/>
          <w:b w:val="false"/>
          <w:color w:val="000000"/>
          <w:sz w:val="20"/>
        </w:rPr>
        <w:t>sales outstanding, net of amounts owed to subcontractors, was 57 days, down 15 days year-ov</w:t>
      </w:r>
      <w:r>
        <w:rPr>
          <w:rFonts w:ascii="Times New Roman;sans-serif" w:hAnsi="Times New Roman;sans-serif"/>
          <w:b w:val="false"/>
          <w:color w:val="000000"/>
          <w:sz w:val="20"/>
          <w:shd w:fill="FFFFFF" w:val="clear"/>
        </w:rPr>
        <w:t>er-year and up 2 days sequentially. As of March 31, 2025, we did not have any off-balance sheet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debt discussion which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Company’s Board of Directors authorized approximately $59.0 million in additional share repurchases, such that, effective for trades made after May 3, 2023, the aggregate amount available for stock repurchases was set at $100.0 million (the Repurchase Program). In the third quarter of 2023, we entered into a Rule 10b5-1 Repurchase Plan to allow for share repurchases during the Company’s blackout periods, beginning on January 2, 2024 and effective through November 7, 2024. During the three months ended March 31, 2024, we repurchased and retired a total of 310,235 shares of common stock for $6.4 million, at an average price of $20.51 per share. During the three months ended March 31, 2025, we did not repurchase any shares of our common stock, but did pay $0.3 million in excise tax related to previous share repurchases.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$40.5 million remaining for share repurchase under the Repurchase Program, subject to certain conditions in the Loan Agreement (as defined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$0.3 million to $5.7 million for the three months ended March 31, 2025, as compared to $6.0 million for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$1.9 million for the three months ended March 31, 2025, as compared to $2.2 million for the three months ended March 31, 2024, for capital expenditures in both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2025 was $4.7 million, as compared to $15.7 million during the three months ended March 31, 2024. During the three months ended March 31, 2025, we used cash to pay $0.3 million for excise tax related to previous share repurchases and $4.4 million for contingent consideration. During the three months ended March 31, 2024, we used cash to pay $2.7 million for income taxes on share-based compensation, $6.4 million for share repurchases, and $6.6 million for contingent consideration.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2019 Asset-Based Loan Agreement</w:t>
      </w:r>
      <w:r>
        <w:rPr>
          <w:color w:val="000000"/>
        </w:rPr>
        <w:t xml:space="preserve"> </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On July 29, 2024, we amended the Loan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(Seventh Amendment), which allows for all share repurchases paid in cash prior to June 30, 2024 and thereafter to be excluded as restricted payments in the fixed charge coverage ratio calculation if there is no revolving ABL balance. </w:t>
      </w:r>
    </w:p>
    <w:p>
      <w:pPr>
        <w:pStyle w:val="TextBody"/>
        <w:bidi w:val="0"/>
        <w:spacing w:lineRule="auto" w:line="288" w:before="0" w:after="0"/>
        <w:jc w:val="left"/>
        <w:rPr/>
      </w:pPr>
      <w:r>
        <w:rPr>
          <w:rFonts w:ascii="Times New Roman;sans-serif" w:hAnsi="Times New Roman;sans-serif"/>
          <w:b w:val="false"/>
          <w:color w:val="000000"/>
          <w:sz w:val="20"/>
        </w:rPr>
        <w:t>As of March 31, 2025, the interest rate spreads and fees under the ABL were based on SOFR plus 1.85% for the revolving portion of the borrowing base. The Base Rate margin would have been 0.75% for the revolving portion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$148.4 million as of March 31, 2025, with no borrowings drawn and $133.5 million of availability net of $14.9 million of letters of credit. For the three months ended March 31, 2025, the excess availability did not fall below the stated threshold and, as a result, there was no covenant compliance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 Debt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remain consistent with those reported in our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variable interest rate risk associated with our Loan Agreement entered into on October 25, 2019. This agreement charges interest at a rate based on either SOFR or Base Rate (as defined in the Loan Agreement) plus an applicable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1.0% change in interest rates would have resulted in interest expense fluctuating an </w:t>
      </w:r>
      <w:r>
        <w:rPr>
          <w:rFonts w:ascii="Times New Roman;sans-serif" w:hAnsi="Times New Roman;sans-serif"/>
          <w:b w:val="false"/>
          <w:color w:val="000000"/>
          <w:sz w:val="20"/>
          <w:shd w:fill="FFFFFF" w:val="clear"/>
        </w:rPr>
        <w:t>immaterial a</w:t>
      </w:r>
      <w:r>
        <w:rPr>
          <w:rFonts w:ascii="Times New Roman;sans-serif" w:hAnsi="Times New Roman;sans-serif"/>
          <w:b w:val="false"/>
          <w:color w:val="000000"/>
          <w:sz w:val="20"/>
        </w:rPr>
        <w:t>mount for the three months ended March 31, 2025 and 2024, respectively. See Note 8 - Debt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other exposures as disclosed in our 2024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quarterly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Information with respect to certain legal proceedings is included in Part I, Item 1, Note 13 - Contingencies - </w:t>
      </w:r>
      <w:r>
        <w:rPr>
          <w:rFonts w:ascii="Times New Roman;sans-serif" w:hAnsi="Times New Roman;sans-serif"/>
          <w:b w:val="false"/>
          <w:i/>
          <w:color w:val="000000"/>
          <w:sz w:val="20"/>
          <w:shd w:fill="FFFFFF" w:val="clear"/>
        </w:rPr>
        <w:t>Legal Proceedings</w:t>
      </w:r>
      <w:r>
        <w:rPr>
          <w:color w:val="000000"/>
          <w:shd w:fill="FFFFFF" w:val="clear"/>
        </w:rPr>
        <w:t xml:space="preserve"> </w:t>
      </w:r>
      <w:r>
        <w:rPr>
          <w:rFonts w:ascii="Times New Roman;sans-serif" w:hAnsi="Times New Roman;sans-serif"/>
          <w:b w:val="false"/>
          <w:color w:val="000000"/>
          <w:sz w:val="20"/>
          <w:shd w:fill="FFFFFF" w:val="clear"/>
        </w:rPr>
        <w:t>of this Quarterly Report on Form 10-Q,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to our Risk Factors as previously disclosed in our 2024 Form 10-K.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080"/>
        <w:jc w:val="left"/>
        <w:rPr/>
      </w:pPr>
      <w:r>
        <w:rPr/>
      </w:r>
    </w:p>
    <w:p>
      <w:pPr>
        <w:pStyle w:val="TextBody"/>
        <w:bidi w:val="0"/>
        <w:spacing w:lineRule="auto" w:line="268" w:before="0" w:after="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(c) Trading Plans</w:t>
      </w:r>
    </w:p>
    <w:p>
      <w:pPr>
        <w:pStyle w:val="TextBody"/>
        <w:bidi w:val="0"/>
        <w:spacing w:before="0" w:after="0"/>
        <w:ind w:left="0" w:right="0" w:hanging="108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w:t>
      </w:r>
      <w:r>
        <w:rPr>
          <w:rFonts w:ascii="Times New Roman;sans-serif" w:hAnsi="Times New Roman;sans-serif"/>
          <w:b w:val="false"/>
          <w:color w:val="000000"/>
          <w:sz w:val="20"/>
          <w:shd w:fill="FFFFFF" w:val="clear"/>
        </w:rPr>
        <w:t>trading arrangement or non-Rule 10b5-1 trading arrangement (as that term is defined in Item 408(c) of Regulation S-K) during the most recently completed quarter.</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
        <w:gridCol w:w="258"/>
        <w:gridCol w:w="263"/>
        <w:gridCol w:w="109"/>
        <w:gridCol w:w="109"/>
        <w:gridCol w:w="109"/>
        <w:gridCol w:w="2961"/>
        <w:gridCol w:w="2961"/>
        <w:gridCol w:w="2984"/>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50331-10qex31x1.htm">
              <w:r>
                <w:rPr>
                  <w:rStyle w:val="InternetLink"/>
                  <w:rFonts w:ascii="Times New Roman;sans-serif" w:hAnsi="Times New Roman;sans-serif"/>
                  <w:b w:val="false"/>
                  <w:color w:val="0000FF"/>
                  <w:sz w:val="20"/>
                  <w:u w:val="single"/>
                </w:rPr>
                <w:t>Certification pursuant to Rule 13a-14(a) and Rule 15d-14(a) and pursuant to Section 302 of the Sarbanes-Oxley Act of 2002 by John A. Martins, President, Chief Executive Officer, Director (Principal Executive Officer)</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50331-10qex31x2.htm">
              <w:r>
                <w:rPr>
                  <w:rStyle w:val="InternetLink"/>
                  <w:rFonts w:ascii="Times New Roman;sans-serif" w:hAnsi="Times New Roman;sans-serif"/>
                  <w:b w:val="false"/>
                  <w:color w:val="0000FF"/>
                  <w:sz w:val="20"/>
                  <w:u w:val="single"/>
                </w:rPr>
                <w:t>Certification pursuant to Rule 13a-14(a) and Rule 15d-14(a) and pursuant to Section 302 of the Sarbanes-Oxley Act of 2002 by William J. Burns, Executive Vice President, Chief Financial Officer (Principal Financial Officer)</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50331-10qex32x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John A. Martins, President, Chief Executive Officer, Director (Principal Executive Officer)</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50331-10qex32x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William J. Burns, Executive Vice President, Chief Financial Officer (Principal Financial Officer)</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 management contract or compensatory plan or arrangement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648" w:type="dxa"/>
        <w:jc w:val="left"/>
        <w:tblInd w:w="0" w:type="dxa"/>
        <w:tblLayout w:type="fixed"/>
        <w:tblCellMar>
          <w:top w:w="28" w:type="dxa"/>
          <w:left w:w="28" w:type="dxa"/>
          <w:bottom w:w="28" w:type="dxa"/>
          <w:right w:w="28" w:type="dxa"/>
        </w:tblCellMar>
      </w:tblPr>
      <w:tblGrid>
        <w:gridCol w:w="591"/>
        <w:gridCol w:w="520"/>
        <w:gridCol w:w="523"/>
        <w:gridCol w:w="575"/>
        <w:gridCol w:w="575"/>
        <w:gridCol w:w="575"/>
        <w:gridCol w:w="1254"/>
        <w:gridCol w:w="1254"/>
        <w:gridCol w:w="178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J. Burns </w:t>
              <w:br/>
              <w:t>Executive Vice President &amp;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John A. Martins, certify that: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75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893"/>
        <w:gridCol w:w="893"/>
        <w:gridCol w:w="127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Burns, certify that: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82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on Form 10-Q of Cross Country Healthcare, Inc. (the Company) for the quarterly period ended March 31, 2025, (the "Periodic Report"), I, John A. Martins, President and Chief Executive Officer of the Company, hereby certify pursuant to 18 U.S.C. Section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Periodic Report fully complies with the requirements of Section 13(a) or 15(d) of the Securities Exchange Act of 1934; and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4798"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893"/>
        <w:gridCol w:w="893"/>
        <w:gridCol w:w="12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on Form 10-Q of Cross Country Healthcare, Inc. (the "Company") for the quarterly period ended March 31, 2025, (the "Periodic Report"), I, William J. Burns, Executive Vice President and Chief Financial Officer of the Company, hereby certify pursuant to 18 U.S.C. Section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Periodic Report fully complies with the requirements of Section 13(a) or 15(d) of the Securities Exchange Act of 1934; and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2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 (Principal Financial Officer)</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16771</Words>
  <Characters>94277</Characters>
  <CharactersWithSpaces>110163</CharactersWithSpaces>
  <Paragraphs>1771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